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3" w:line="226" w:lineRule="auto"/>
        <w:ind w:firstLine="1380" w:firstLineChars="300"/>
        <w:jc w:val="both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color w:val="333333"/>
          <w:spacing w:val="10"/>
          <w:sz w:val="44"/>
          <w:szCs w:val="44"/>
          <w14:textOutline w14:w="5793" w14:cap="sq" w14:cmpd="sng">
            <w14:solidFill>
              <w14:srgbClr w14:val="333333"/>
            </w14:solidFill>
            <w14:prstDash w14:val="solid"/>
            <w14:bevel/>
          </w14:textOutline>
        </w:rPr>
        <w:t>关</w:t>
      </w:r>
      <w:r>
        <w:rPr>
          <w:rFonts w:ascii="黑体" w:hAnsi="黑体" w:eastAsia="黑体" w:cs="黑体"/>
          <w:color w:val="333333"/>
          <w:spacing w:val="9"/>
          <w:sz w:val="44"/>
          <w:szCs w:val="44"/>
          <w14:textOutline w14:w="5793" w14:cap="sq" w14:cmpd="sng">
            <w14:solidFill>
              <w14:srgbClr w14:val="333333"/>
            </w14:solidFill>
            <w14:prstDash w14:val="solid"/>
            <w14:bevel/>
          </w14:textOutline>
        </w:rPr>
        <w:t>于落实预算绩效工作的报告</w:t>
      </w:r>
    </w:p>
    <w:p>
      <w:pPr>
        <w:spacing w:line="432" w:lineRule="auto"/>
        <w:rPr>
          <w:rFonts w:ascii="Arial"/>
          <w:sz w:val="21"/>
        </w:rPr>
      </w:pPr>
    </w:p>
    <w:p>
      <w:pPr>
        <w:numPr>
          <w:ilvl w:val="0"/>
          <w:numId w:val="1"/>
        </w:numPr>
        <w:spacing w:before="101" w:line="372" w:lineRule="auto"/>
        <w:ind w:left="35" w:firstLine="645"/>
        <w:rPr>
          <w:rFonts w:ascii="仿宋" w:hAnsi="仿宋" w:eastAsia="仿宋" w:cs="仿宋"/>
          <w:spacing w:val="14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</w:rPr>
        <w:t>组织机构和制度体系建设不断健全。</w:t>
      </w:r>
      <w:r>
        <w:rPr>
          <w:rFonts w:hint="eastAsia" w:ascii="仿宋" w:hAnsi="仿宋" w:eastAsia="仿宋" w:cs="仿宋"/>
          <w:spacing w:val="8"/>
          <w:sz w:val="30"/>
          <w:szCs w:val="30"/>
          <w:lang w:val="en-US" w:eastAsia="zh-CN"/>
        </w:rPr>
        <w:t>南乐县</w:t>
      </w:r>
      <w:r>
        <w:rPr>
          <w:rFonts w:ascii="仿宋" w:hAnsi="仿宋" w:eastAsia="仿宋" w:cs="仿宋"/>
          <w:spacing w:val="8"/>
          <w:sz w:val="30"/>
          <w:szCs w:val="30"/>
        </w:rPr>
        <w:t>财政局高</w:t>
      </w:r>
      <w:r>
        <w:rPr>
          <w:rFonts w:ascii="仿宋" w:hAnsi="仿宋" w:eastAsia="仿宋" w:cs="仿宋"/>
          <w:spacing w:val="14"/>
          <w:sz w:val="30"/>
          <w:szCs w:val="30"/>
        </w:rPr>
        <w:t>度重</w:t>
      </w:r>
      <w:r>
        <w:rPr>
          <w:rFonts w:ascii="仿宋" w:hAnsi="仿宋" w:eastAsia="仿宋" w:cs="仿宋"/>
          <w:spacing w:val="12"/>
          <w:sz w:val="30"/>
          <w:szCs w:val="30"/>
        </w:rPr>
        <w:t>视</w:t>
      </w:r>
      <w:r>
        <w:rPr>
          <w:rFonts w:ascii="仿宋" w:hAnsi="仿宋" w:eastAsia="仿宋" w:cs="仿宋"/>
          <w:spacing w:val="7"/>
          <w:sz w:val="30"/>
          <w:szCs w:val="30"/>
        </w:rPr>
        <w:t>预算绩效管理工作，着重在组织和制度保障上下功夫</w:t>
      </w:r>
      <w:r>
        <w:rPr>
          <w:rFonts w:hint="eastAsia" w:ascii="仿宋" w:hAnsi="仿宋" w:eastAsia="仿宋" w:cs="仿宋"/>
          <w:spacing w:val="7"/>
          <w:sz w:val="30"/>
          <w:szCs w:val="30"/>
          <w:lang w:eastAsia="zh-CN"/>
        </w:rPr>
        <w:t>，</w:t>
      </w:r>
      <w:r>
        <w:rPr>
          <w:rFonts w:ascii="仿宋" w:hAnsi="仿宋" w:eastAsia="仿宋" w:cs="仿宋"/>
          <w:spacing w:val="27"/>
          <w:sz w:val="30"/>
          <w:szCs w:val="30"/>
        </w:rPr>
        <w:t>夯</w:t>
      </w:r>
      <w:r>
        <w:rPr>
          <w:rFonts w:ascii="仿宋" w:hAnsi="仿宋" w:eastAsia="仿宋" w:cs="仿宋"/>
          <w:spacing w:val="14"/>
          <w:sz w:val="30"/>
          <w:szCs w:val="30"/>
        </w:rPr>
        <w:t>实工作基础。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72" w:lineRule="auto"/>
        <w:ind w:firstLine="600" w:firstLineChars="200"/>
        <w:textAlignment w:val="baseline"/>
        <w:rPr>
          <w:rFonts w:ascii="仿宋" w:hAnsi="仿宋" w:eastAsia="仿宋" w:cs="仿宋"/>
          <w:spacing w:val="0"/>
          <w:sz w:val="30"/>
          <w:szCs w:val="30"/>
        </w:rPr>
      </w:pPr>
      <w:r>
        <w:rPr>
          <w:rFonts w:ascii="仿宋" w:hAnsi="仿宋" w:eastAsia="仿宋" w:cs="仿宋"/>
          <w:spacing w:val="0"/>
          <w:sz w:val="30"/>
          <w:szCs w:val="30"/>
        </w:rPr>
        <w:t>是组织保障。2020年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10</w:t>
      </w:r>
      <w:r>
        <w:rPr>
          <w:rFonts w:ascii="仿宋" w:hAnsi="仿宋" w:eastAsia="仿宋" w:cs="仿宋"/>
          <w:spacing w:val="0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15</w:t>
      </w:r>
      <w:r>
        <w:rPr>
          <w:rFonts w:ascii="仿宋" w:hAnsi="仿宋" w:eastAsia="仿宋" w:cs="仿宋"/>
          <w:spacing w:val="0"/>
          <w:sz w:val="30"/>
          <w:szCs w:val="30"/>
        </w:rPr>
        <w:t>日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下发乐财办[2020]73号文件《关于成立南乐县绩效评价小组的通知》。</w:t>
      </w:r>
      <w:r>
        <w:rPr>
          <w:rFonts w:ascii="仿宋" w:hAnsi="仿宋" w:eastAsia="仿宋" w:cs="仿宋"/>
          <w:spacing w:val="0"/>
          <w:sz w:val="30"/>
          <w:szCs w:val="30"/>
        </w:rPr>
        <w:t>明确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南乐县</w:t>
      </w:r>
      <w:r>
        <w:rPr>
          <w:rFonts w:ascii="仿宋" w:hAnsi="仿宋" w:eastAsia="仿宋" w:cs="仿宋"/>
          <w:spacing w:val="0"/>
          <w:sz w:val="30"/>
          <w:szCs w:val="30"/>
        </w:rPr>
        <w:t>财政局成立绩效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评价小组，</w:t>
      </w:r>
      <w:r>
        <w:rPr>
          <w:rFonts w:ascii="仿宋" w:hAnsi="仿宋" w:eastAsia="仿宋" w:cs="仿宋"/>
          <w:spacing w:val="0"/>
          <w:sz w:val="30"/>
          <w:szCs w:val="30"/>
        </w:rPr>
        <w:t>为预算绩效管理工作有效开展提供了组织。</w:t>
      </w:r>
    </w:p>
    <w:p>
      <w:pPr>
        <w:spacing w:before="159" w:line="372" w:lineRule="auto"/>
        <w:ind w:firstLine="600" w:firstLineChars="200"/>
        <w:rPr>
          <w:rFonts w:ascii="仿宋" w:hAnsi="仿宋" w:eastAsia="仿宋" w:cs="仿宋"/>
          <w:spacing w:val="0"/>
          <w:sz w:val="30"/>
          <w:szCs w:val="30"/>
        </w:rPr>
      </w:pPr>
      <w:r>
        <w:rPr>
          <w:rFonts w:hint="eastAsia" w:ascii="仿宋" w:hAnsi="仿宋" w:eastAsia="仿宋" w:cs="仿宋"/>
          <w:spacing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二）</w:t>
      </w:r>
      <w:r>
        <w:rPr>
          <w:rFonts w:ascii="仿宋" w:hAnsi="仿宋" w:eastAsia="仿宋" w:cs="仿宋"/>
          <w:spacing w:val="0"/>
          <w:sz w:val="30"/>
          <w:szCs w:val="30"/>
        </w:rPr>
        <w:t>是制度保障。把制度建设作为开展绩效管理工 作的关键环节，根据国家、省和市有关文件要求，结合全局工作实际，制定了 (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乐财办</w:t>
      </w:r>
      <w:r>
        <w:rPr>
          <w:rFonts w:ascii="仿宋" w:hAnsi="仿宋" w:eastAsia="仿宋" w:cs="仿宋"/>
          <w:spacing w:val="0"/>
          <w:sz w:val="30"/>
          <w:szCs w:val="30"/>
        </w:rPr>
        <w:t>[20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19</w:t>
      </w:r>
      <w:r>
        <w:rPr>
          <w:rFonts w:ascii="仿宋" w:hAnsi="仿宋" w:eastAsia="仿宋" w:cs="仿宋"/>
          <w:spacing w:val="0"/>
          <w:sz w:val="30"/>
          <w:szCs w:val="30"/>
        </w:rPr>
        <w:t>]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78</w:t>
      </w:r>
      <w:r>
        <w:rPr>
          <w:rFonts w:ascii="仿宋" w:hAnsi="仿宋" w:eastAsia="仿宋" w:cs="仿宋"/>
          <w:spacing w:val="0"/>
          <w:sz w:val="30"/>
          <w:szCs w:val="30"/>
        </w:rPr>
        <w:t>号) ，具体明确绩效目标管理、绩效运行监控、多层次绩效评价、绩效评价结果、保障措施等为全面开展绩效管理提供了指导性意见。</w:t>
      </w:r>
    </w:p>
    <w:p>
      <w:pPr>
        <w:spacing w:before="13" w:line="371" w:lineRule="auto"/>
        <w:ind w:left="34" w:right="2" w:firstLine="651"/>
        <w:rPr>
          <w:rFonts w:ascii="仿宋" w:hAnsi="仿宋" w:eastAsia="仿宋" w:cs="仿宋"/>
          <w:spacing w:val="0"/>
          <w:sz w:val="30"/>
          <w:szCs w:val="30"/>
        </w:rPr>
      </w:pPr>
      <w:r>
        <w:rPr>
          <w:rFonts w:ascii="仿宋" w:hAnsi="仿宋" w:eastAsia="仿宋" w:cs="仿宋"/>
          <w:spacing w:val="0"/>
          <w:sz w:val="30"/>
          <w:szCs w:val="30"/>
        </w:rPr>
        <w:t>二、根据《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南乐县政策和项目预算事前绩效评估管理办法</w:t>
      </w:r>
      <w:r>
        <w:rPr>
          <w:rFonts w:ascii="仿宋" w:hAnsi="仿宋" w:eastAsia="仿宋" w:cs="仿宋"/>
          <w:spacing w:val="0"/>
          <w:sz w:val="30"/>
          <w:szCs w:val="30"/>
        </w:rPr>
        <w:t>》的规定，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对政法、教育等项目进行了事前绩效评估，</w:t>
      </w:r>
      <w:r>
        <w:rPr>
          <w:rFonts w:ascii="仿宋" w:hAnsi="仿宋" w:eastAsia="仿宋" w:cs="仿宋"/>
          <w:spacing w:val="0"/>
          <w:sz w:val="30"/>
          <w:szCs w:val="30"/>
        </w:rPr>
        <w:t>通过预算事前绩效评估，改革项目支出预算安排方法，建立财政资金“能进能出”的决策机制，改变部分项目支出“只增不减”的固化格局，确保财政资金向县委、县政府重点关注项目倾斜，优先保障项目准备充分、资金效益及社会效益明显的项目。</w:t>
      </w:r>
    </w:p>
    <w:p>
      <w:pPr>
        <w:spacing w:before="1" w:line="375" w:lineRule="auto"/>
        <w:ind w:left="36" w:right="107" w:firstLine="648"/>
        <w:rPr>
          <w:rFonts w:ascii="仿宋" w:hAnsi="仿宋" w:eastAsia="仿宋" w:cs="仿宋"/>
          <w:spacing w:val="0"/>
          <w:sz w:val="30"/>
          <w:szCs w:val="30"/>
        </w:rPr>
      </w:pPr>
      <w:r>
        <w:rPr>
          <w:rFonts w:ascii="仿宋" w:hAnsi="仿宋" w:eastAsia="仿宋" w:cs="仿宋"/>
          <w:spacing w:val="0"/>
          <w:sz w:val="30"/>
          <w:szCs w:val="30"/>
        </w:rPr>
        <w:t>三、项目支出绩效目标管理工作有效开展。绩效目标是 预算绩效管理的基础，是整个预算绩效管理系统的前提，包括绩效内容、绩效指标和绩效标准。今年我县将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72</w:t>
      </w:r>
      <w:r>
        <w:rPr>
          <w:rFonts w:ascii="仿宋" w:hAnsi="仿宋" w:eastAsia="仿宋" w:cs="仿宋"/>
          <w:spacing w:val="0"/>
          <w:sz w:val="30"/>
          <w:szCs w:val="30"/>
        </w:rPr>
        <w:t>家预算</w:t>
      </w:r>
      <w:bookmarkStart w:id="0" w:name="_GoBack"/>
      <w:bookmarkEnd w:id="0"/>
      <w:r>
        <w:rPr>
          <w:rFonts w:ascii="仿宋" w:hAnsi="仿宋" w:eastAsia="仿宋" w:cs="仿宋"/>
          <w:spacing w:val="0"/>
          <w:sz w:val="30"/>
          <w:szCs w:val="30"/>
        </w:rPr>
        <w:t>单位全部纳入绩效目标管理。预算单位根据绩效目标管理要</w:t>
      </w:r>
    </w:p>
    <w:p>
      <w:pPr>
        <w:rPr>
          <w:spacing w:val="0"/>
          <w:sz w:val="30"/>
          <w:szCs w:val="30"/>
        </w:rPr>
        <w:sectPr>
          <w:pgSz w:w="11906" w:h="16839"/>
          <w:pgMar w:top="1431" w:right="1694" w:bottom="0" w:left="1785" w:header="0" w:footer="0" w:gutter="0"/>
          <w:cols w:space="720" w:num="1"/>
        </w:sectPr>
      </w:pPr>
    </w:p>
    <w:p>
      <w:pPr>
        <w:spacing w:before="8" w:line="371" w:lineRule="auto"/>
        <w:ind w:left="34" w:firstLine="679"/>
        <w:rPr>
          <w:rFonts w:ascii="仿宋" w:hAnsi="仿宋" w:eastAsia="仿宋" w:cs="仿宋"/>
          <w:spacing w:val="0"/>
          <w:sz w:val="30"/>
          <w:szCs w:val="30"/>
        </w:rPr>
      </w:pPr>
      <w:r>
        <w:rPr>
          <w:rFonts w:ascii="仿宋" w:hAnsi="仿宋" w:eastAsia="仿宋" w:cs="仿宋"/>
          <w:spacing w:val="0"/>
          <w:sz w:val="30"/>
          <w:szCs w:val="30"/>
        </w:rPr>
        <w:t>求，科学、合理地测算资金需求，填写项目预算绩效目标申报表，相关业务部门审核，绩效办批复后，确定预算绩效目 标。把绩效目标纳入县财政综合预算，在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南乐县</w:t>
      </w:r>
      <w:r>
        <w:rPr>
          <w:rFonts w:ascii="仿宋" w:hAnsi="仿宋" w:eastAsia="仿宋" w:cs="仿宋"/>
          <w:spacing w:val="0"/>
          <w:sz w:val="30"/>
          <w:szCs w:val="30"/>
        </w:rPr>
        <w:t xml:space="preserve"> (本级) 202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1</w:t>
      </w:r>
      <w:r>
        <w:rPr>
          <w:rFonts w:ascii="仿宋" w:hAnsi="仿宋" w:eastAsia="仿宋" w:cs="仿宋"/>
          <w:spacing w:val="0"/>
          <w:sz w:val="30"/>
          <w:szCs w:val="30"/>
        </w:rPr>
        <w:t>年年初预算安排中增加项目和部门整体支出绩效目标表。据统计，我县纳入项目绩效目标的金额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81533</w:t>
      </w:r>
      <w:r>
        <w:rPr>
          <w:rFonts w:ascii="仿宋" w:hAnsi="仿宋" w:eastAsia="仿宋" w:cs="仿宋"/>
          <w:spacing w:val="0"/>
          <w:sz w:val="30"/>
          <w:szCs w:val="30"/>
        </w:rPr>
        <w:t>万元，预算项目支出为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81533</w:t>
      </w:r>
      <w:r>
        <w:rPr>
          <w:rFonts w:ascii="仿宋" w:hAnsi="仿宋" w:eastAsia="仿宋" w:cs="仿宋"/>
          <w:spacing w:val="0"/>
          <w:sz w:val="30"/>
          <w:szCs w:val="30"/>
        </w:rPr>
        <w:t>万元，占预算项目支出的 100%。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72</w:t>
      </w:r>
      <w:r>
        <w:rPr>
          <w:rFonts w:ascii="仿宋" w:hAnsi="仿宋" w:eastAsia="仿宋" w:cs="仿宋"/>
          <w:spacing w:val="0"/>
          <w:sz w:val="30"/>
          <w:szCs w:val="30"/>
        </w:rPr>
        <w:t>家一级预算单位都报送部门整体绩效目标表。</w:t>
      </w:r>
    </w:p>
    <w:p>
      <w:pPr>
        <w:spacing w:before="8" w:line="371" w:lineRule="auto"/>
        <w:ind w:left="34" w:firstLine="679"/>
        <w:rPr>
          <w:rFonts w:hint="default" w:ascii="仿宋" w:hAnsi="仿宋" w:eastAsia="仿宋" w:cs="仿宋"/>
          <w:spacing w:val="0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pacing w:val="0"/>
          <w:sz w:val="30"/>
          <w:szCs w:val="30"/>
        </w:rPr>
        <w:t>四、预算绩效监控工作积极开展</w:t>
      </w:r>
      <w:r>
        <w:rPr>
          <w:rFonts w:hint="eastAsia" w:ascii="仿宋" w:hAnsi="仿宋" w:eastAsia="仿宋" w:cs="仿宋"/>
          <w:spacing w:val="0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72</w:t>
      </w:r>
      <w:r>
        <w:rPr>
          <w:rFonts w:ascii="仿宋" w:hAnsi="仿宋" w:eastAsia="仿宋" w:cs="仿宋"/>
          <w:spacing w:val="0"/>
          <w:sz w:val="30"/>
          <w:szCs w:val="30"/>
        </w:rPr>
        <w:t>家一级预算部门开展绩效自主监控，开展率为100%。开展绩效监控的项目支出金额的金额为</w:t>
      </w:r>
      <w:r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  <w:t>8153</w:t>
      </w:r>
      <w:r>
        <w:rPr>
          <w:rFonts w:hint="eastAsia" w:ascii="仿宋" w:hAnsi="仿宋" w:eastAsia="仿宋" w:cs="仿宋"/>
          <w:spacing w:val="0"/>
          <w:sz w:val="30"/>
          <w:szCs w:val="30"/>
          <w:highlight w:val="none"/>
          <w:lang w:val="en-US" w:eastAsia="zh-CN"/>
        </w:rPr>
        <w:t>3</w:t>
      </w:r>
      <w:r>
        <w:rPr>
          <w:rFonts w:ascii="仿宋" w:hAnsi="仿宋" w:eastAsia="仿宋" w:cs="仿宋"/>
          <w:spacing w:val="0"/>
          <w:sz w:val="30"/>
          <w:szCs w:val="30"/>
          <w:highlight w:val="none"/>
        </w:rPr>
        <w:t>万元，预算部门项目支出总</w:t>
      </w:r>
      <w:r>
        <w:rPr>
          <w:rFonts w:hint="eastAsia" w:ascii="仿宋" w:hAnsi="仿宋" w:eastAsia="仿宋" w:cs="仿宋"/>
          <w:spacing w:val="0"/>
          <w:sz w:val="30"/>
          <w:szCs w:val="30"/>
          <w:highlight w:val="none"/>
          <w:lang w:val="en-US" w:eastAsia="zh-CN"/>
        </w:rPr>
        <w:t>81533</w:t>
      </w:r>
      <w:r>
        <w:rPr>
          <w:rFonts w:ascii="仿宋" w:hAnsi="仿宋" w:eastAsia="仿宋" w:cs="仿宋"/>
          <w:spacing w:val="0"/>
          <w:sz w:val="30"/>
          <w:szCs w:val="30"/>
          <w:highlight w:val="none"/>
        </w:rPr>
        <w:t>万元，金额</w:t>
      </w:r>
      <w:r>
        <w:rPr>
          <w:rFonts w:ascii="仿宋" w:hAnsi="仿宋" w:eastAsia="仿宋" w:cs="仿宋"/>
          <w:spacing w:val="0"/>
          <w:sz w:val="30"/>
          <w:szCs w:val="30"/>
        </w:rPr>
        <w:t>覆盖率为100%。</w:t>
      </w:r>
    </w:p>
    <w:p>
      <w:pPr>
        <w:spacing w:before="160" w:line="372" w:lineRule="auto"/>
        <w:ind w:right="12" w:firstLine="600" w:firstLineChars="200"/>
        <w:rPr>
          <w:rFonts w:hint="default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ascii="仿宋" w:hAnsi="仿宋" w:eastAsia="仿宋" w:cs="仿宋"/>
          <w:spacing w:val="0"/>
          <w:sz w:val="30"/>
          <w:szCs w:val="30"/>
        </w:rPr>
        <w:t>五、项目支出绩效评价工作稳步推进。认真贯彻落实省 财政厅、市财政局关于加强预算绩效管理工作的各项部署， 稳步推进财政支出绩效评价工作。要求各预算单位在预算项 目结束后，对预算执行情况进行自我评价，将实际取得的绩 效与绩效目标进行对比，如未实现绩效目标，需说明原因。 经绩效办与相关业务股室沟通，先将预算绩效自评报告交到 相关业务股室，由业务股室进行</w:t>
      </w:r>
      <w:r>
        <w:rPr>
          <w:rFonts w:ascii="仿宋" w:hAnsi="仿宋" w:eastAsia="仿宋" w:cs="仿宋"/>
          <w:color w:val="auto"/>
          <w:spacing w:val="0"/>
          <w:sz w:val="30"/>
          <w:szCs w:val="30"/>
          <w:highlight w:val="none"/>
        </w:rPr>
        <w:t>把关，再由绩效办审核和汇总。</w:t>
      </w:r>
      <w:r>
        <w:rPr>
          <w:rFonts w:hint="eastAsia" w:ascii="仿宋" w:hAnsi="仿宋" w:eastAsia="仿宋" w:cs="仿宋"/>
          <w:color w:val="auto"/>
          <w:spacing w:val="0"/>
          <w:sz w:val="30"/>
          <w:szCs w:val="30"/>
          <w:highlight w:val="none"/>
          <w:lang w:val="en-US" w:eastAsia="zh-CN"/>
        </w:rPr>
        <w:t>2021</w:t>
      </w:r>
      <w:r>
        <w:rPr>
          <w:rFonts w:ascii="仿宋" w:hAnsi="仿宋" w:eastAsia="仿宋" w:cs="仿宋"/>
          <w:color w:val="auto"/>
          <w:spacing w:val="0"/>
          <w:sz w:val="30"/>
          <w:szCs w:val="30"/>
          <w:highlight w:val="none"/>
        </w:rPr>
        <w:t>年开展绩效评价的本级项目共 139个，</w:t>
      </w:r>
      <w:r>
        <w:rPr>
          <w:rFonts w:hint="eastAsia" w:ascii="仿宋" w:hAnsi="仿宋" w:eastAsia="仿宋" w:cs="仿宋"/>
          <w:color w:val="auto"/>
          <w:spacing w:val="0"/>
          <w:sz w:val="30"/>
          <w:szCs w:val="30"/>
          <w:highlight w:val="none"/>
          <w:lang w:val="en-US" w:eastAsia="zh-CN"/>
        </w:rPr>
        <w:t>65家</w:t>
      </w:r>
      <w:r>
        <w:rPr>
          <w:rFonts w:ascii="仿宋" w:hAnsi="仿宋" w:eastAsia="仿宋" w:cs="仿宋"/>
          <w:color w:val="auto"/>
          <w:spacing w:val="0"/>
          <w:sz w:val="30"/>
          <w:szCs w:val="30"/>
          <w:highlight w:val="none"/>
        </w:rPr>
        <w:t>本级预算单</w:t>
      </w:r>
      <w:r>
        <w:rPr>
          <w:rFonts w:hint="eastAsia" w:ascii="仿宋" w:hAnsi="仿宋" w:eastAsia="仿宋" w:cs="仿宋"/>
          <w:color w:val="auto"/>
          <w:spacing w:val="0"/>
          <w:sz w:val="30"/>
          <w:szCs w:val="30"/>
          <w:highlight w:val="none"/>
          <w:lang w:val="en-US" w:eastAsia="zh-CN"/>
        </w:rPr>
        <w:t>位</w:t>
      </w:r>
      <w:r>
        <w:rPr>
          <w:rFonts w:ascii="仿宋" w:hAnsi="仿宋" w:eastAsia="仿宋" w:cs="仿宋"/>
          <w:color w:val="auto"/>
          <w:spacing w:val="0"/>
          <w:sz w:val="30"/>
          <w:szCs w:val="30"/>
          <w:highlight w:val="none"/>
        </w:rPr>
        <w:t>开展绩效自我评价金额达</w:t>
      </w:r>
      <w:r>
        <w:rPr>
          <w:rFonts w:hint="eastAsia" w:ascii="仿宋" w:hAnsi="仿宋" w:eastAsia="仿宋" w:cs="仿宋"/>
          <w:color w:val="auto"/>
          <w:spacing w:val="0"/>
          <w:sz w:val="30"/>
          <w:szCs w:val="30"/>
          <w:highlight w:val="none"/>
          <w:lang w:val="en-US" w:eastAsia="zh-CN"/>
        </w:rPr>
        <w:t>59554</w:t>
      </w:r>
      <w:r>
        <w:rPr>
          <w:rFonts w:ascii="仿宋" w:hAnsi="仿宋" w:eastAsia="仿宋" w:cs="仿宋"/>
          <w:color w:val="auto"/>
          <w:spacing w:val="0"/>
          <w:sz w:val="30"/>
          <w:szCs w:val="30"/>
          <w:highlight w:val="none"/>
        </w:rPr>
        <w:t>万元</w:t>
      </w:r>
      <w:r>
        <w:rPr>
          <w:rFonts w:hint="eastAsia" w:ascii="仿宋" w:hAnsi="仿宋" w:eastAsia="仿宋" w:cs="仿宋"/>
          <w:color w:val="auto"/>
          <w:spacing w:val="0"/>
          <w:sz w:val="30"/>
          <w:szCs w:val="30"/>
          <w:highlight w:val="none"/>
          <w:lang w:eastAsia="zh-CN"/>
        </w:rPr>
        <w:t>，</w:t>
      </w:r>
      <w:r>
        <w:rPr>
          <w:rFonts w:ascii="仿宋" w:hAnsi="仿宋" w:eastAsia="仿宋" w:cs="仿宋"/>
          <w:color w:val="auto"/>
          <w:spacing w:val="0"/>
          <w:sz w:val="30"/>
          <w:szCs w:val="30"/>
          <w:highlight w:val="none"/>
        </w:rPr>
        <w:t>占项目金</w:t>
      </w:r>
      <w:r>
        <w:rPr>
          <w:rFonts w:hint="eastAsia" w:ascii="仿宋" w:hAnsi="仿宋" w:eastAsia="仿宋" w:cs="仿宋"/>
          <w:color w:val="auto"/>
          <w:spacing w:val="0"/>
          <w:sz w:val="30"/>
          <w:szCs w:val="30"/>
          <w:highlight w:val="none"/>
          <w:lang w:val="en-US" w:eastAsia="zh-CN"/>
        </w:rPr>
        <w:t>额81533</w:t>
      </w:r>
      <w:r>
        <w:rPr>
          <w:rFonts w:ascii="仿宋" w:hAnsi="仿宋" w:eastAsia="仿宋" w:cs="仿宋"/>
          <w:color w:val="auto"/>
          <w:spacing w:val="-7"/>
          <w:sz w:val="30"/>
          <w:szCs w:val="30"/>
          <w:highlight w:val="none"/>
        </w:rPr>
        <w:t>万</w:t>
      </w:r>
      <w:r>
        <w:rPr>
          <w:rFonts w:ascii="仿宋" w:hAnsi="仿宋" w:eastAsia="仿宋" w:cs="仿宋"/>
          <w:color w:val="auto"/>
          <w:spacing w:val="-4"/>
          <w:sz w:val="30"/>
          <w:szCs w:val="30"/>
          <w:highlight w:val="none"/>
        </w:rPr>
        <w:t xml:space="preserve">元的 </w:t>
      </w:r>
      <w:r>
        <w:rPr>
          <w:rFonts w:hint="eastAsia" w:ascii="仿宋" w:hAnsi="仿宋" w:eastAsia="仿宋" w:cs="仿宋"/>
          <w:color w:val="auto"/>
          <w:spacing w:val="-4"/>
          <w:sz w:val="30"/>
          <w:szCs w:val="30"/>
          <w:highlight w:val="none"/>
          <w:lang w:val="en-US" w:eastAsia="zh-CN"/>
        </w:rPr>
        <w:t>73%。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98492"/>
    <w:multiLevelType w:val="singleLevel"/>
    <w:tmpl w:val="80B984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669ABA9"/>
    <w:multiLevelType w:val="singleLevel"/>
    <w:tmpl w:val="7669ABA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UyZjVkMmU5MDc4ZTJjZDI4OGU3ZjUwN2NjYjVlZjYifQ=="/>
  </w:docVars>
  <w:rsids>
    <w:rsidRoot w:val="00000000"/>
    <w:rsid w:val="189E1950"/>
    <w:rsid w:val="26E34FB2"/>
    <w:rsid w:val="5F223BC2"/>
    <w:rsid w:val="65BA007C"/>
    <w:rsid w:val="67A55FF6"/>
    <w:rsid w:val="718C28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2023-05-26T10:10:00Z</dcterms:created>
  <dc:creator>Alice</dc:creator>
  <cp:lastModifiedBy>跳跳糖</cp:lastModifiedBy>
  <dcterms:modified xsi:type="dcterms:W3CDTF">2023-05-29T01:45:33Z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2023-05-26T18:10:28Z</vt:filetime>
  </property>
  <property fmtid="{D5CDD505-2E9C-101B-9397-08002B2CF9AE}" pid="4" name="KSOProductBuildVer">
    <vt:lpwstr>2052-11.1.0.14309</vt:lpwstr>
  </property>
  <property fmtid="{D5CDD505-2E9C-101B-9397-08002B2CF9AE}" pid="5" name="ICV">
    <vt:lpwstr>035626E194194E068D87BE5A382F8BF8_12</vt:lpwstr>
  </property>
</Properties>
</file>