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rPr>
          <w:rFonts w:ascii="黑体" w:hAnsi="黑体" w:eastAsia="黑体" w:cs="黑体"/>
          <w:sz w:val="52"/>
          <w:szCs w:val="52"/>
        </w:rPr>
      </w:pPr>
      <w:r>
        <w:rPr>
          <w:rFonts w:hint="eastAsia" w:ascii="黑体" w:hAnsi="黑体" w:eastAsia="黑体" w:cs="黑体"/>
          <w:sz w:val="52"/>
          <w:szCs w:val="52"/>
          <w:lang w:eastAsia="zh-CN"/>
        </w:rPr>
        <w:t>南乐县公安局</w:t>
      </w:r>
    </w:p>
    <w:p>
      <w:pPr>
        <w:jc w:val="center"/>
        <w:rPr>
          <w:rFonts w:hint="eastAsia" w:ascii="黑体" w:hAnsi="黑体" w:eastAsia="黑体" w:cs="黑体"/>
          <w:sz w:val="52"/>
          <w:szCs w:val="52"/>
          <w:lang w:eastAsia="zh-CN"/>
        </w:rPr>
      </w:pPr>
      <w:r>
        <w:rPr>
          <w:rFonts w:hint="eastAsia" w:ascii="黑体" w:hAnsi="黑体" w:eastAsia="黑体" w:cs="黑体"/>
          <w:sz w:val="52"/>
          <w:szCs w:val="52"/>
          <w:lang w:val="en-US" w:eastAsia="zh-CN"/>
        </w:rPr>
        <w:t>2019</w:t>
      </w:r>
      <w:r>
        <w:rPr>
          <w:rFonts w:hint="eastAsia" w:ascii="黑体" w:hAnsi="黑体" w:eastAsia="黑体" w:cs="黑体"/>
          <w:sz w:val="52"/>
          <w:szCs w:val="52"/>
        </w:rPr>
        <w:t>年度部门</w:t>
      </w:r>
      <w:r>
        <w:rPr>
          <w:rFonts w:hint="eastAsia" w:ascii="黑体" w:hAnsi="黑体" w:eastAsia="黑体" w:cs="黑体"/>
          <w:sz w:val="52"/>
          <w:szCs w:val="52"/>
          <w:lang w:eastAsia="zh-CN"/>
        </w:rPr>
        <w:t>汇总</w:t>
      </w:r>
      <w:r>
        <w:rPr>
          <w:rFonts w:hint="eastAsia" w:ascii="黑体" w:hAnsi="黑体" w:eastAsia="黑体" w:cs="黑体"/>
          <w:sz w:val="52"/>
          <w:szCs w:val="52"/>
        </w:rPr>
        <w:t>预算</w:t>
      </w:r>
    </w:p>
    <w:p>
      <w:pPr>
        <w:jc w:val="center"/>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jc w:val="both"/>
        <w:rPr>
          <w:rFonts w:ascii="黑体" w:hAnsi="黑体" w:eastAsia="黑体" w:cs="黑体"/>
          <w:sz w:val="52"/>
          <w:szCs w:val="52"/>
        </w:rPr>
      </w:pPr>
    </w:p>
    <w:p>
      <w:pPr>
        <w:adjustRightInd w:val="0"/>
        <w:snapToGrid w:val="0"/>
        <w:spacing w:line="360" w:lineRule="auto"/>
        <w:jc w:val="center"/>
        <w:rPr>
          <w:rFonts w:hint="eastAsia" w:ascii="Arial" w:hAnsi="Arial" w:eastAsia="方正小标宋简体" w:cs="Arial"/>
          <w:sz w:val="44"/>
          <w:szCs w:val="44"/>
          <w:lang w:val="en-US" w:eastAsia="zh-CN"/>
        </w:rPr>
      </w:pPr>
      <w:r>
        <w:rPr>
          <w:rFonts w:hint="eastAsia" w:ascii="方正小标宋简体" w:hAnsi="方正小标宋简体" w:eastAsia="方正小标宋简体" w:cs="方正小标宋简体"/>
          <w:sz w:val="44"/>
          <w:szCs w:val="44"/>
          <w:lang w:val="en-US" w:eastAsia="zh-CN"/>
        </w:rPr>
        <w:t>2019年</w:t>
      </w:r>
      <w:r>
        <w:rPr>
          <w:rFonts w:hint="eastAsia" w:ascii="Arial" w:hAnsi="Arial" w:eastAsia="方正小标宋简体" w:cs="Arial"/>
          <w:sz w:val="44"/>
          <w:szCs w:val="44"/>
          <w:lang w:val="en-US" w:eastAsia="zh-CN"/>
        </w:rPr>
        <w:t>4月4日</w:t>
      </w:r>
    </w:p>
    <w:p>
      <w:pPr>
        <w:adjustRightInd w:val="0"/>
        <w:snapToGrid w:val="0"/>
        <w:spacing w:line="360" w:lineRule="auto"/>
        <w:jc w:val="center"/>
        <w:rPr>
          <w:rFonts w:hint="eastAsia" w:ascii="Arial" w:hAnsi="Arial" w:eastAsia="方正小标宋简体" w:cs="Arial"/>
          <w:color w:val="C00000"/>
          <w:sz w:val="32"/>
          <w:szCs w:val="32"/>
          <w:lang w:val="en-US" w:eastAsia="zh-CN"/>
        </w:rPr>
      </w:pPr>
    </w:p>
    <w:p>
      <w:pPr>
        <w:kinsoku w:val="0"/>
        <w:overflowPunct w:val="0"/>
        <w:adjustRightInd w:val="0"/>
        <w:snapToGrid w:val="0"/>
        <w:spacing w:line="360" w:lineRule="auto"/>
        <w:ind w:left="-142" w:right="51" w:firstLine="30" w:firstLineChars="7"/>
        <w:jc w:val="center"/>
        <w:rPr>
          <w:rFonts w:ascii="黑体" w:hAnsi="黑体" w:eastAsia="黑体" w:cs="仿宋_GB2312"/>
          <w:sz w:val="44"/>
          <w:szCs w:val="44"/>
        </w:rPr>
      </w:pPr>
      <w:r>
        <w:rPr>
          <w:rFonts w:hint="eastAsia" w:ascii="黑体" w:hAnsi="黑体" w:eastAsia="黑体" w:cs="仿宋_GB2312"/>
          <w:sz w:val="44"/>
          <w:szCs w:val="44"/>
        </w:rPr>
        <w:t>目</w:t>
      </w:r>
      <w:r>
        <w:rPr>
          <w:rFonts w:hint="eastAsia" w:ascii="黑体" w:hAnsi="黑体" w:eastAsia="黑体" w:cs="仿宋_GB2312"/>
          <w:spacing w:val="2"/>
          <w:sz w:val="44"/>
          <w:szCs w:val="44"/>
        </w:rPr>
        <w:t xml:space="preserve"> </w:t>
      </w:r>
      <w:r>
        <w:rPr>
          <w:rFonts w:hint="eastAsia" w:ascii="黑体" w:hAnsi="黑体" w:eastAsia="黑体" w:cs="仿宋_GB2312"/>
          <w:sz w:val="44"/>
          <w:szCs w:val="44"/>
        </w:rPr>
        <w:t>录</w:t>
      </w:r>
    </w:p>
    <w:p>
      <w:pPr>
        <w:keepNext w:val="0"/>
        <w:keepLines w:val="0"/>
        <w:widowControl/>
        <w:suppressLineNumbers w:val="0"/>
        <w:kinsoku w:val="0"/>
        <w:overflowPunct w:val="0"/>
        <w:adjustRightInd w:val="0"/>
        <w:snapToGrid w:val="0"/>
        <w:spacing w:before="0" w:beforeAutospacing="0" w:after="226" w:afterAutospacing="0" w:line="360" w:lineRule="auto"/>
        <w:ind w:left="-150" w:right="3418" w:firstLine="624" w:firstLineChars="200"/>
        <w:jc w:val="left"/>
      </w:pPr>
      <w:r>
        <w:rPr>
          <w:rFonts w:hint="eastAsia" w:ascii="黑体" w:hAnsi="Times New Roman" w:eastAsia="黑体" w:cs="黑体"/>
          <w:color w:val="333333"/>
          <w:kern w:val="2"/>
          <w:sz w:val="32"/>
          <w:szCs w:val="32"/>
          <w:lang w:val="en-US" w:eastAsia="zh-CN" w:bidi="ar"/>
        </w:rPr>
        <w:t>第一部分 南乐县</w:t>
      </w:r>
      <w:r>
        <w:rPr>
          <w:rFonts w:hint="eastAsia" w:ascii="黑体" w:hAnsi="宋体" w:eastAsia="黑体" w:cs="黑体"/>
          <w:color w:val="333333"/>
          <w:kern w:val="2"/>
          <w:sz w:val="32"/>
          <w:szCs w:val="32"/>
          <w:lang w:val="en-US" w:eastAsia="zh-CN" w:bidi="ar"/>
        </w:rPr>
        <w:t>公安局</w:t>
      </w:r>
      <w:r>
        <w:rPr>
          <w:rFonts w:hint="eastAsia" w:ascii="黑体" w:hAnsi="Times New Roman" w:eastAsia="黑体" w:cs="黑体"/>
          <w:color w:val="333333"/>
          <w:kern w:val="2"/>
          <w:sz w:val="32"/>
          <w:szCs w:val="32"/>
          <w:lang w:val="en-US" w:eastAsia="zh-CN" w:bidi="ar"/>
        </w:rPr>
        <w:t xml:space="preserve">概况 </w:t>
      </w:r>
    </w:p>
    <w:p>
      <w:pPr>
        <w:keepNext w:val="0"/>
        <w:keepLines w:val="0"/>
        <w:widowControl/>
        <w:suppressLineNumbers w:val="0"/>
        <w:spacing w:before="0" w:beforeAutospacing="0" w:after="226" w:afterAutospacing="0" w:line="360" w:lineRule="auto"/>
        <w:ind w:left="-150" w:right="3418" w:firstLine="960"/>
        <w:jc w:val="left"/>
      </w:pPr>
      <w:r>
        <w:rPr>
          <w:rFonts w:hint="eastAsia" w:ascii="仿宋_GB2312" w:hAnsi="Times New Roman" w:eastAsia="仿宋_GB2312" w:cs="仿宋_GB2312"/>
          <w:color w:val="333333"/>
          <w:kern w:val="2"/>
          <w:sz w:val="32"/>
          <w:szCs w:val="32"/>
          <w:lang w:val="en-US" w:eastAsia="zh-CN" w:bidi="ar"/>
        </w:rPr>
        <w:t>一、主要职能</w:t>
      </w:r>
    </w:p>
    <w:p>
      <w:pPr>
        <w:keepNext w:val="0"/>
        <w:keepLines w:val="0"/>
        <w:widowControl/>
        <w:suppressLineNumbers w:val="0"/>
        <w:spacing w:before="0" w:beforeAutospacing="0" w:after="226" w:afterAutospacing="0" w:line="360" w:lineRule="auto"/>
        <w:ind w:left="-150" w:right="3418" w:firstLine="960"/>
        <w:jc w:val="left"/>
      </w:pPr>
      <w:r>
        <w:rPr>
          <w:rFonts w:hint="eastAsia" w:ascii="仿宋_GB2312" w:hAnsi="Times New Roman" w:eastAsia="仿宋_GB2312" w:cs="仿宋_GB2312"/>
          <w:color w:val="333333"/>
          <w:kern w:val="2"/>
          <w:sz w:val="32"/>
          <w:szCs w:val="32"/>
          <w:lang w:val="en-US" w:eastAsia="zh-CN" w:bidi="ar"/>
        </w:rPr>
        <w:t>二、部门预算单位构成</w:t>
      </w:r>
    </w:p>
    <w:p>
      <w:pPr>
        <w:keepNext w:val="0"/>
        <w:keepLines w:val="0"/>
        <w:widowControl/>
        <w:suppressLineNumbers w:val="0"/>
        <w:kinsoku w:val="0"/>
        <w:overflowPunct w:val="0"/>
        <w:adjustRightInd w:val="0"/>
        <w:snapToGrid w:val="0"/>
        <w:spacing w:before="0" w:beforeAutospacing="0" w:after="226" w:afterAutospacing="0" w:line="360" w:lineRule="auto"/>
        <w:ind w:left="-150" w:right="372" w:firstLine="624" w:firstLineChars="200"/>
        <w:jc w:val="left"/>
      </w:pPr>
      <w:r>
        <w:rPr>
          <w:rFonts w:hint="eastAsia" w:ascii="黑体" w:hAnsi="Times New Roman" w:eastAsia="黑体" w:cs="黑体"/>
          <w:color w:val="333333"/>
          <w:kern w:val="2"/>
          <w:sz w:val="32"/>
          <w:szCs w:val="32"/>
          <w:lang w:val="en-US" w:eastAsia="zh-CN" w:bidi="ar"/>
        </w:rPr>
        <w:t>第二部分 南乐县公安局 2019</w:t>
      </w:r>
      <w:r>
        <w:rPr>
          <w:rFonts w:hint="eastAsia" w:ascii="黑体" w:hAnsi="Times New Roman" w:eastAsia="黑体" w:cs="黑体"/>
          <w:color w:val="333333"/>
          <w:spacing w:val="-119"/>
          <w:kern w:val="2"/>
          <w:sz w:val="32"/>
          <w:szCs w:val="32"/>
          <w:lang w:val="en-US" w:eastAsia="zh-CN" w:bidi="ar"/>
        </w:rPr>
        <w:t xml:space="preserve"> </w:t>
      </w:r>
      <w:r>
        <w:rPr>
          <w:rFonts w:hint="eastAsia" w:ascii="黑体" w:hAnsi="Times New Roman" w:eastAsia="黑体" w:cs="黑体"/>
          <w:color w:val="333333"/>
          <w:kern w:val="2"/>
          <w:sz w:val="32"/>
          <w:szCs w:val="32"/>
          <w:lang w:val="en-US" w:eastAsia="zh-CN" w:bidi="ar"/>
        </w:rPr>
        <w:t xml:space="preserve">年度部门汇总预算情况说明 </w:t>
      </w:r>
    </w:p>
    <w:p>
      <w:pPr>
        <w:keepNext w:val="0"/>
        <w:keepLines w:val="0"/>
        <w:widowControl/>
        <w:suppressLineNumbers w:val="0"/>
        <w:kinsoku w:val="0"/>
        <w:overflowPunct w:val="0"/>
        <w:adjustRightInd w:val="0"/>
        <w:snapToGrid w:val="0"/>
        <w:spacing w:before="0" w:beforeAutospacing="0" w:after="226" w:afterAutospacing="0" w:line="360" w:lineRule="auto"/>
        <w:ind w:left="-150" w:right="372" w:firstLine="624" w:firstLineChars="200"/>
        <w:jc w:val="left"/>
      </w:pPr>
      <w:r>
        <w:rPr>
          <w:rFonts w:hint="eastAsia" w:ascii="黑体" w:hAnsi="Times New Roman" w:eastAsia="黑体" w:cs="黑体"/>
          <w:color w:val="333333"/>
          <w:kern w:val="2"/>
          <w:sz w:val="32"/>
          <w:szCs w:val="32"/>
          <w:lang w:val="en-US" w:eastAsia="zh-CN" w:bidi="ar"/>
        </w:rPr>
        <w:t>第三部分</w:t>
      </w:r>
      <w:r>
        <w:rPr>
          <w:rFonts w:hint="eastAsia" w:ascii="黑体" w:hAnsi="Times New Roman" w:eastAsia="黑体" w:cs="黑体"/>
          <w:color w:val="333333"/>
          <w:spacing w:val="-32"/>
          <w:kern w:val="2"/>
          <w:sz w:val="32"/>
          <w:szCs w:val="32"/>
          <w:lang w:val="en-US" w:eastAsia="zh-CN" w:bidi="ar"/>
        </w:rPr>
        <w:t xml:space="preserve"> </w:t>
      </w:r>
      <w:r>
        <w:rPr>
          <w:rFonts w:hint="eastAsia" w:ascii="黑体" w:hAnsi="Times New Roman" w:eastAsia="黑体" w:cs="黑体"/>
          <w:color w:val="333333"/>
          <w:kern w:val="2"/>
          <w:sz w:val="32"/>
          <w:szCs w:val="32"/>
          <w:lang w:val="en-US" w:eastAsia="zh-CN" w:bidi="ar"/>
        </w:rPr>
        <w:t>名词解释</w:t>
      </w:r>
    </w:p>
    <w:p>
      <w:pPr>
        <w:keepNext w:val="0"/>
        <w:keepLines w:val="0"/>
        <w:widowControl/>
        <w:suppressLineNumbers w:val="0"/>
        <w:kinsoku w:val="0"/>
        <w:overflowPunct w:val="0"/>
        <w:adjustRightInd w:val="0"/>
        <w:snapToGrid w:val="0"/>
        <w:spacing w:before="0" w:beforeAutospacing="0" w:after="226" w:afterAutospacing="0" w:line="360" w:lineRule="auto"/>
        <w:ind w:left="-150" w:right="-150" w:firstLine="624" w:firstLineChars="200"/>
        <w:jc w:val="left"/>
        <w:rPr>
          <w:rFonts w:hint="eastAsia" w:ascii="黑体" w:hAnsi="Times New Roman" w:eastAsia="黑体" w:cs="黑体"/>
          <w:color w:val="333333"/>
          <w:kern w:val="2"/>
          <w:sz w:val="32"/>
          <w:szCs w:val="32"/>
          <w:lang w:val="en-US" w:eastAsia="zh-CN" w:bidi="ar"/>
        </w:rPr>
      </w:pPr>
      <w:r>
        <w:rPr>
          <w:rFonts w:hint="eastAsia" w:ascii="黑体" w:hAnsi="Times New Roman" w:eastAsia="黑体" w:cs="黑体"/>
          <w:color w:val="333333"/>
          <w:kern w:val="2"/>
          <w:sz w:val="32"/>
          <w:szCs w:val="32"/>
          <w:lang w:val="en-US" w:eastAsia="zh-CN" w:bidi="ar"/>
        </w:rPr>
        <w:t>附件：南乐县</w:t>
      </w:r>
      <w:r>
        <w:rPr>
          <w:rFonts w:hint="eastAsia" w:ascii="黑体" w:hAnsi="Times New Roman" w:eastAsia="黑体" w:cs="黑体"/>
          <w:color w:val="333333"/>
          <w:spacing w:val="-32"/>
          <w:kern w:val="2"/>
          <w:sz w:val="32"/>
          <w:szCs w:val="32"/>
          <w:lang w:val="en-US" w:eastAsia="zh-CN" w:bidi="ar"/>
        </w:rPr>
        <w:t>公安局</w:t>
      </w:r>
      <w:r>
        <w:rPr>
          <w:rFonts w:hint="eastAsia" w:ascii="黑体" w:hAnsi="Times New Roman" w:eastAsia="黑体" w:cs="黑体"/>
          <w:color w:val="333333"/>
          <w:kern w:val="2"/>
          <w:sz w:val="32"/>
          <w:szCs w:val="32"/>
          <w:lang w:val="en-US" w:eastAsia="zh-CN" w:bidi="ar"/>
        </w:rPr>
        <w:t>2019</w:t>
      </w:r>
      <w:r>
        <w:rPr>
          <w:rFonts w:hint="eastAsia" w:ascii="黑体" w:hAnsi="Times New Roman" w:eastAsia="黑体" w:cs="黑体"/>
          <w:color w:val="333333"/>
          <w:spacing w:val="-116"/>
          <w:kern w:val="2"/>
          <w:sz w:val="32"/>
          <w:szCs w:val="32"/>
          <w:lang w:val="en-US" w:eastAsia="zh-CN" w:bidi="ar"/>
        </w:rPr>
        <w:t xml:space="preserve"> </w:t>
      </w:r>
      <w:r>
        <w:rPr>
          <w:rFonts w:hint="eastAsia" w:ascii="黑体" w:hAnsi="Times New Roman" w:eastAsia="黑体" w:cs="黑体"/>
          <w:color w:val="333333"/>
          <w:kern w:val="2"/>
          <w:sz w:val="32"/>
          <w:szCs w:val="32"/>
          <w:lang w:val="en-US" w:eastAsia="zh-CN" w:bidi="ar"/>
        </w:rPr>
        <w:t>年度部门汇总预算表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hint="eastAsia" w:ascii="仿宋_GB2312" w:eastAsia="仿宋_GB2312"/>
          <w:sz w:val="32"/>
          <w:szCs w:val="32"/>
        </w:rPr>
        <w:t>部门收支总体情况表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hint="eastAsia" w:ascii="仿宋_GB2312" w:eastAsia="仿宋_GB2312"/>
          <w:sz w:val="32"/>
          <w:szCs w:val="32"/>
        </w:rPr>
        <w:t>部门收入总体情况表</w:t>
      </w: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r>
        <w:rPr>
          <w:rFonts w:hint="eastAsia" w:ascii="仿宋_GB2312" w:hAnsi="Times New Roman" w:eastAsia="仿宋_GB2312" w:cs="仿宋_GB2312"/>
          <w:sz w:val="32"/>
          <w:szCs w:val="32"/>
        </w:rPr>
        <w:t>三、</w:t>
      </w:r>
      <w:r>
        <w:rPr>
          <w:rFonts w:hint="eastAsia" w:ascii="仿宋_GB2312" w:eastAsia="仿宋_GB2312"/>
          <w:sz w:val="32"/>
          <w:szCs w:val="32"/>
        </w:rPr>
        <w:t>部门支出总体情况表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四、</w:t>
      </w:r>
      <w:r>
        <w:rPr>
          <w:rFonts w:hint="eastAsia" w:ascii="仿宋_GB2312" w:eastAsia="仿宋_GB2312"/>
          <w:sz w:val="32"/>
          <w:szCs w:val="32"/>
        </w:rPr>
        <w:t>财政拨款收支总体情况表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五、</w:t>
      </w:r>
      <w:r>
        <w:rPr>
          <w:rFonts w:hint="eastAsia" w:ascii="仿宋_GB2312" w:eastAsia="仿宋_GB2312"/>
          <w:sz w:val="32"/>
          <w:szCs w:val="32"/>
        </w:rPr>
        <w:t>一般公共预算支出情况表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六、</w:t>
      </w:r>
      <w:r>
        <w:rPr>
          <w:rFonts w:hint="eastAsia" w:ascii="仿宋_GB2312" w:eastAsia="仿宋_GB2312"/>
          <w:sz w:val="32"/>
          <w:szCs w:val="32"/>
        </w:rPr>
        <w:t>一般公共预算基本支出情况表</w:t>
      </w:r>
    </w:p>
    <w:p>
      <w:pPr>
        <w:kinsoku w:val="0"/>
        <w:overflowPunct w:val="0"/>
        <w:adjustRightInd w:val="0"/>
        <w:snapToGrid w:val="0"/>
        <w:spacing w:line="360" w:lineRule="auto"/>
        <w:ind w:right="51" w:firstLine="936" w:firstLineChars="300"/>
        <w:jc w:val="lef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七、</w:t>
      </w:r>
      <w:r>
        <w:rPr>
          <w:rFonts w:hint="eastAsia" w:ascii="仿宋_GB2312" w:eastAsia="仿宋_GB2312"/>
          <w:sz w:val="32"/>
          <w:szCs w:val="32"/>
        </w:rPr>
        <w:t>一般公共预算“三公”经费支出情况表</w:t>
      </w:r>
    </w:p>
    <w:p>
      <w:pPr>
        <w:kinsoku w:val="0"/>
        <w:overflowPunct w:val="0"/>
        <w:adjustRightInd w:val="0"/>
        <w:snapToGrid w:val="0"/>
        <w:spacing w:line="360" w:lineRule="auto"/>
        <w:ind w:right="51" w:firstLine="936" w:firstLineChars="300"/>
        <w:jc w:val="left"/>
        <w:rPr>
          <w:rFonts w:ascii="仿宋_GB2312" w:eastAsia="仿宋_GB2312"/>
          <w:sz w:val="32"/>
          <w:szCs w:val="32"/>
        </w:rPr>
      </w:pPr>
      <w:r>
        <w:rPr>
          <w:rFonts w:hint="eastAsia" w:ascii="仿宋_GB2312" w:hAnsi="Times New Roman" w:eastAsia="仿宋_GB2312" w:cs="仿宋_GB2312"/>
          <w:sz w:val="32"/>
          <w:szCs w:val="32"/>
        </w:rPr>
        <w:t>八、</w:t>
      </w:r>
      <w:r>
        <w:rPr>
          <w:rFonts w:hint="eastAsia" w:ascii="仿宋_GB2312" w:eastAsia="仿宋_GB2312"/>
          <w:sz w:val="32"/>
          <w:szCs w:val="32"/>
        </w:rPr>
        <w:t>政府性基金预算支出情况表</w:t>
      </w: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r>
        <w:rPr>
          <w:rFonts w:hint="eastAsia" w:ascii="仿宋_GB2312" w:eastAsia="仿宋_GB2312"/>
          <w:sz w:val="32"/>
          <w:szCs w:val="32"/>
        </w:rPr>
        <w:t>九</w:t>
      </w:r>
      <w:r>
        <w:rPr>
          <w:rFonts w:ascii="仿宋_GB2312" w:eastAsia="仿宋_GB2312"/>
          <w:sz w:val="32"/>
          <w:szCs w:val="32"/>
        </w:rPr>
        <w:t>、</w:t>
      </w:r>
      <w:r>
        <w:rPr>
          <w:rFonts w:hint="eastAsia" w:ascii="仿宋_GB2312" w:eastAsia="仿宋_GB2312"/>
          <w:sz w:val="32"/>
          <w:szCs w:val="32"/>
        </w:rPr>
        <w:t>国有资本经营预算支出情况表</w:t>
      </w: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p>
    <w:p>
      <w:pPr>
        <w:kinsoku w:val="0"/>
        <w:overflowPunct w:val="0"/>
        <w:adjustRightInd w:val="0"/>
        <w:snapToGrid w:val="0"/>
        <w:spacing w:line="360" w:lineRule="auto"/>
        <w:ind w:right="51" w:firstLine="936" w:firstLineChars="300"/>
        <w:jc w:val="left"/>
        <w:rPr>
          <w:rFonts w:hint="eastAsia" w:ascii="仿宋_GB2312" w:eastAsia="仿宋_GB2312"/>
          <w:sz w:val="32"/>
          <w:szCs w:val="32"/>
        </w:rPr>
      </w:pPr>
    </w:p>
    <w:p>
      <w:pPr>
        <w:keepNext w:val="0"/>
        <w:keepLines w:val="0"/>
        <w:widowControl/>
        <w:suppressLineNumbers w:val="0"/>
        <w:adjustRightInd w:val="0"/>
        <w:snapToGrid w:val="0"/>
        <w:spacing w:before="0" w:beforeAutospacing="0" w:after="226" w:afterAutospacing="0" w:line="360" w:lineRule="auto"/>
        <w:ind w:right="-150"/>
        <w:jc w:val="center"/>
        <w:rPr>
          <w:sz w:val="22"/>
          <w:szCs w:val="24"/>
        </w:rPr>
      </w:pPr>
      <w:r>
        <w:rPr>
          <w:rFonts w:hint="eastAsia" w:ascii="黑体" w:hAnsi="宋体" w:eastAsia="黑体" w:cs="黑体"/>
          <w:color w:val="333333"/>
          <w:kern w:val="2"/>
          <w:sz w:val="36"/>
          <w:szCs w:val="36"/>
          <w:lang w:val="en-US" w:eastAsia="zh-CN" w:bidi="ar"/>
        </w:rPr>
        <w:t>第一部分</w:t>
      </w:r>
    </w:p>
    <w:p>
      <w:pPr>
        <w:keepNext w:val="0"/>
        <w:keepLines w:val="0"/>
        <w:widowControl/>
        <w:suppressLineNumbers w:val="0"/>
        <w:adjustRightInd w:val="0"/>
        <w:snapToGrid w:val="0"/>
        <w:spacing w:before="0" w:beforeAutospacing="0" w:after="226" w:afterAutospacing="0" w:line="360" w:lineRule="auto"/>
        <w:ind w:left="-150" w:right="-150"/>
        <w:jc w:val="center"/>
        <w:rPr>
          <w:sz w:val="22"/>
          <w:szCs w:val="24"/>
        </w:rPr>
      </w:pPr>
      <w:r>
        <w:rPr>
          <w:rFonts w:hint="eastAsia" w:ascii="黑体" w:hAnsi="宋体" w:eastAsia="黑体" w:cs="黑体"/>
          <w:color w:val="333333"/>
          <w:kern w:val="2"/>
          <w:sz w:val="36"/>
          <w:szCs w:val="36"/>
          <w:lang w:val="en-US" w:eastAsia="zh-CN" w:bidi="ar"/>
        </w:rPr>
        <w:t>南乐县公安局概况</w:t>
      </w:r>
    </w:p>
    <w:p>
      <w:pPr>
        <w:keepNext w:val="0"/>
        <w:keepLines w:val="0"/>
        <w:widowControl/>
        <w:suppressLineNumbers w:val="0"/>
        <w:adjustRightInd w:val="0"/>
        <w:snapToGrid w:val="0"/>
        <w:spacing w:before="0" w:beforeAutospacing="0" w:after="226" w:afterAutospacing="0" w:line="360" w:lineRule="auto"/>
        <w:ind w:left="-150" w:right="-150" w:firstLine="624" w:firstLineChars="200"/>
        <w:jc w:val="center"/>
      </w:pPr>
      <w:r>
        <w:rPr>
          <w:rFonts w:hint="eastAsia" w:ascii="黑体" w:hAnsi="宋体" w:eastAsia="黑体" w:cs="黑体"/>
          <w:color w:val="333333"/>
          <w:kern w:val="2"/>
          <w:sz w:val="32"/>
          <w:szCs w:val="32"/>
          <w:lang w:val="en-US" w:eastAsia="zh-CN" w:bidi="ar"/>
        </w:rPr>
        <w:t xml:space="preserve"> </w:t>
      </w:r>
    </w:p>
    <w:p>
      <w:pPr>
        <w:keepNext w:val="0"/>
        <w:keepLines w:val="0"/>
        <w:widowControl/>
        <w:numPr>
          <w:ilvl w:val="0"/>
          <w:numId w:val="1"/>
        </w:numPr>
        <w:suppressLineNumbers w:val="0"/>
        <w:adjustRightInd w:val="0"/>
        <w:snapToGrid w:val="0"/>
        <w:spacing w:before="0" w:beforeAutospacing="0" w:after="226" w:afterAutospacing="0" w:line="360" w:lineRule="auto"/>
        <w:ind w:left="-150" w:right="-150" w:firstLine="624" w:firstLineChars="200"/>
        <w:jc w:val="left"/>
        <w:rPr>
          <w:rFonts w:hint="eastAsia" w:ascii="黑体" w:hAnsi="宋体" w:eastAsia="黑体" w:cs="黑体"/>
          <w:b w:val="0"/>
          <w:color w:val="333333"/>
          <w:kern w:val="2"/>
          <w:sz w:val="32"/>
          <w:szCs w:val="32"/>
          <w:lang w:val="en-US" w:eastAsia="zh-CN" w:bidi="ar"/>
        </w:rPr>
      </w:pPr>
      <w:r>
        <w:rPr>
          <w:rFonts w:hint="eastAsia" w:ascii="黑体" w:hAnsi="宋体" w:eastAsia="黑体" w:cs="黑体"/>
          <w:b w:val="0"/>
          <w:color w:val="333333"/>
          <w:kern w:val="2"/>
          <w:sz w:val="32"/>
          <w:szCs w:val="32"/>
          <w:lang w:val="en-US" w:eastAsia="zh-CN" w:bidi="ar"/>
        </w:rPr>
        <w:t>主要职能</w:t>
      </w:r>
    </w:p>
    <w:p>
      <w:pPr>
        <w:keepNext w:val="0"/>
        <w:keepLines w:val="0"/>
        <w:widowControl/>
        <w:numPr>
          <w:ilvl w:val="0"/>
          <w:numId w:val="2"/>
        </w:numPr>
        <w:suppressLineNumbers w:val="0"/>
        <w:adjustRightInd w:val="0"/>
        <w:snapToGrid w:val="0"/>
        <w:spacing w:before="0" w:beforeAutospacing="0" w:after="226" w:afterAutospacing="0" w:line="360" w:lineRule="auto"/>
        <w:ind w:leftChars="200" w:right="-150" w:rightChars="0"/>
        <w:jc w:val="left"/>
        <w:rPr>
          <w:rFonts w:hint="eastAsia" w:ascii="黑体" w:hAnsi="宋体" w:eastAsia="黑体" w:cs="黑体"/>
          <w:b w:val="0"/>
          <w:color w:val="333333"/>
          <w:kern w:val="2"/>
          <w:sz w:val="32"/>
          <w:szCs w:val="32"/>
          <w:lang w:val="en-US" w:eastAsia="zh-CN" w:bidi="ar"/>
        </w:rPr>
      </w:pPr>
      <w:r>
        <w:rPr>
          <w:rFonts w:hint="eastAsia" w:ascii="黑体" w:hAnsi="宋体" w:eastAsia="黑体" w:cs="黑体"/>
          <w:b w:val="0"/>
          <w:color w:val="333333"/>
          <w:kern w:val="2"/>
          <w:sz w:val="32"/>
          <w:szCs w:val="32"/>
          <w:lang w:val="en-US" w:eastAsia="zh-CN" w:bidi="ar"/>
        </w:rPr>
        <w:t>机构设置情况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default" w:ascii="黑体" w:hAnsi="宋体" w:eastAsia="黑体" w:cs="黑体"/>
          <w:b w:val="0"/>
          <w:color w:val="333333"/>
          <w:kern w:val="2"/>
          <w:sz w:val="32"/>
          <w:szCs w:val="32"/>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县公安局内设机构9个：警令部、政治处、法制室、情报中心、110指挥中心、控申股、纪委、后勤股、通信股；业务大队11个：刑事侦查大队、交通警察大队、治安管理大队、国内安全保卫大队、经济犯罪侦查大队、网络警察大队、禁毒大队、巡特警大队、处突大队、检查站、技侦大队；派出机构14个：看守所、拘留所、城关派出所、杨村派出所、张果屯派出所、韩张派出所、千口派出所、福堪派出所、谷金楼派出所、西邵派出所、寺庄派出所、梁村派出所、元村派出所、近德固派出所。</w:t>
      </w:r>
    </w:p>
    <w:p>
      <w:pPr>
        <w:keepNext w:val="0"/>
        <w:keepLines w:val="0"/>
        <w:widowControl/>
        <w:suppressLineNumbers w:val="0"/>
        <w:adjustRightInd w:val="0"/>
        <w:snapToGrid w:val="0"/>
        <w:spacing w:before="0" w:beforeAutospacing="0" w:after="226" w:afterAutospacing="0" w:line="360" w:lineRule="auto"/>
        <w:ind w:left="-150" w:right="-150" w:firstLine="624" w:firstLineChars="200"/>
        <w:jc w:val="left"/>
      </w:pPr>
      <w:r>
        <w:rPr>
          <w:rFonts w:hint="eastAsia" w:ascii="黑体" w:hAnsi="宋体" w:eastAsia="黑体" w:cs="黑体"/>
          <w:b w:val="0"/>
          <w:color w:val="333333"/>
          <w:kern w:val="2"/>
          <w:sz w:val="32"/>
          <w:szCs w:val="32"/>
          <w:lang w:val="en-US" w:eastAsia="zh-CN" w:bidi="ar"/>
        </w:rPr>
        <w:t>（二）部门职责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主要职责是负责全县公安工作；掌握影响社会稳定、危害全县安全和社会治安的情况，分析形势，制定对策；组织开展侦查工作。办理刑事犯罪案件、危害国家安全的犯罪案件、经济犯罪案件及专项工作；负责全县治安管理工作并承担相应责任。协调、处置重大治安事故和群体性事件，依法查处破坏社会治安秩序行为，依法开展治安行政管理工作，依法开展治安保卫工作；负责出入境管理有关工作。依法开展管理国籍工作，组织指导全县出入境、持普通护照的外国人和香港、澳门特别行政区及台湾地区人员在南乐县居留、旅行的有关管理工作；负责全县消防工作并承担相应责任。指导、监督、协调全县消防监督、火灾预防、火灾扑救和公安应急抢险救援工作；负责全县道路交通安全管理工作并承担相应责任。维护道路交通安全、道路交通秩序，开展机动车辆(不含拖拉机)、驾驶人管理工作；负责公共信息网络的安全保护工作，负责信息安全等级保护工作的监督、检查、指导；防范、处置邪教组织的违法犯罪活动；组织对恐怖活动的防范、侦察工作；承担全县公安机关依法承担的执行刑罚工作，指导、监督看守所、拘留所工作；组织开展对党和国家领导人以及重要外宾在我县的安全警卫工作并承担相应责任；组织开展县公安科学技术工作，规划公安机关指挥系统、信息技术、刑事技术建设；拟订全县公安机关被装配备标准、制度，参与拟订公安机关装备、经费标准，拟订管理制度；组织协调全县公安机关重大任务的警务保障工作组织协调全县公安机关与外地县、境外警察机构的业务交流和合作；统一领导全县公安消防建设，对武警中队执行公安任务及相关业务建设实施领导和指挥；按规定权限管理干部人事工作。拟订全县公安队伍管理监督工作规定，负责公安机关督察、审计、信访工作，按规定权限实施对干部的监督，查处公安队伍违纪案件，指导全县公安队伍思想作风、工作作风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540" w:lineRule="atLeast"/>
        <w:ind w:right="-147" w:firstLine="624" w:firstLineChars="200"/>
        <w:jc w:val="left"/>
        <w:textAlignment w:val="baseline"/>
        <w:rPr>
          <w:rFonts w:hint="default" w:ascii="仿宋_GB2312" w:hAnsi="宋体" w:eastAsia="仿宋_GB2312" w:cs="仿宋_GB2312"/>
          <w:i w:val="0"/>
          <w:color w:val="333333"/>
          <w:spacing w:val="0"/>
          <w:kern w:val="0"/>
          <w:sz w:val="32"/>
          <w:szCs w:val="32"/>
          <w:vertAlign w:val="baseline"/>
          <w:lang w:val="en-US" w:eastAsia="zh-CN" w:bidi="ar"/>
        </w:rPr>
      </w:pPr>
      <w:r>
        <w:rPr>
          <w:rFonts w:hint="eastAsia" w:ascii="黑体" w:hAnsi="宋体" w:eastAsia="黑体" w:cs="黑体"/>
          <w:b w:val="0"/>
          <w:color w:val="333333"/>
          <w:kern w:val="2"/>
          <w:sz w:val="32"/>
          <w:szCs w:val="32"/>
          <w:lang w:val="en-US" w:eastAsia="zh-CN" w:bidi="ar"/>
        </w:rPr>
        <w:t>二、南乐县公安局预算单位构成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含有南乐县消防大队独立核算的二级单位，本预算为含有二级部门预算的汇总预算。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adjustRightInd w:val="0"/>
        <w:snapToGrid w:val="0"/>
        <w:spacing w:before="0" w:beforeAutospacing="0" w:after="226" w:afterAutospacing="0" w:line="360" w:lineRule="auto"/>
        <w:ind w:right="-150"/>
        <w:jc w:val="center"/>
      </w:pPr>
      <w:r>
        <w:rPr>
          <w:rFonts w:hint="eastAsia" w:ascii="黑体" w:hAnsi="宋体" w:eastAsia="黑体" w:cs="黑体"/>
          <w:color w:val="333333"/>
          <w:kern w:val="2"/>
          <w:sz w:val="32"/>
          <w:szCs w:val="32"/>
          <w:lang w:val="en-US" w:eastAsia="zh-CN" w:bidi="ar"/>
        </w:rPr>
        <w:t>第二部分</w:t>
      </w:r>
    </w:p>
    <w:p>
      <w:pPr>
        <w:keepNext w:val="0"/>
        <w:keepLines w:val="0"/>
        <w:widowControl/>
        <w:suppressLineNumbers w:val="0"/>
        <w:adjustRightInd w:val="0"/>
        <w:snapToGrid w:val="0"/>
        <w:spacing w:before="0" w:beforeAutospacing="0" w:after="226" w:afterAutospacing="0" w:line="360" w:lineRule="auto"/>
        <w:ind w:left="-150" w:right="-150"/>
        <w:jc w:val="center"/>
      </w:pPr>
      <w:r>
        <w:rPr>
          <w:rFonts w:hint="eastAsia" w:ascii="黑体" w:hAnsi="宋体" w:eastAsia="黑体" w:cs="黑体"/>
          <w:color w:val="333333"/>
          <w:kern w:val="2"/>
          <w:sz w:val="32"/>
          <w:szCs w:val="32"/>
          <w:lang w:val="en-US" w:eastAsia="zh-CN" w:bidi="ar"/>
        </w:rPr>
        <w:t>南乐县公安局2019年度部门汇总预算情况说明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一、收入支出预算总体情况说明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收入总计10790.80万元，支出总计10790.80万元，与2018年相比，收入总计增加1769.65万元，增长19.62%；支出总计增加1769.65万元，增长19.62%。主要原因：工资进行调标人员经费增加、上年结转结余资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二、收入预算总体情况说明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2019年收入合计10790.80万元，其中：一般公共预算8680.41万元;</w:t>
      </w:r>
      <w:r>
        <w:rPr>
          <w:rFonts w:ascii="微软雅黑" w:hAnsi="微软雅黑" w:eastAsia="微软雅黑" w:cs="微软雅黑"/>
          <w:i w:val="0"/>
          <w:color w:val="333333"/>
          <w:spacing w:val="0"/>
          <w:kern w:val="0"/>
          <w:sz w:val="32"/>
          <w:szCs w:val="32"/>
          <w:vertAlign w:val="baseline"/>
          <w:lang w:val="en-US" w:eastAsia="zh-CN" w:bidi="ar"/>
        </w:rPr>
        <w:t> </w:t>
      </w:r>
      <w:r>
        <w:rPr>
          <w:rFonts w:hint="eastAsia" w:ascii="仿宋_GB2312" w:hAnsi="宋体" w:eastAsia="仿宋_GB2312" w:cs="仿宋_GB2312"/>
          <w:i w:val="0"/>
          <w:color w:val="333333"/>
          <w:spacing w:val="0"/>
          <w:kern w:val="0"/>
          <w:sz w:val="32"/>
          <w:szCs w:val="32"/>
          <w:vertAlign w:val="baseline"/>
          <w:lang w:val="en-US" w:eastAsia="zh-CN" w:bidi="ar"/>
        </w:rPr>
        <w:t>政府性基金收入1146.66万元，上年结转结余963.73万元。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三、支出预算总体情况说明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南乐县公安局2019年支出合计10790.80万元，其中：基本支出4019.21万元，占37.25%；项目支出6771.59万元，占62.75%。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 </w:t>
      </w:r>
      <w:r>
        <w:rPr>
          <w:rFonts w:hint="eastAsia" w:ascii="黑体" w:hAnsi="宋体" w:eastAsia="黑体" w:cs="黑体"/>
          <w:color w:val="333333"/>
          <w:spacing w:val="0"/>
          <w:kern w:val="0"/>
          <w:sz w:val="32"/>
          <w:szCs w:val="32"/>
          <w:vertAlign w:val="baseline"/>
          <w:lang w:val="en-US" w:eastAsia="zh-CN" w:bidi="ar"/>
        </w:rPr>
        <w:t>四、财政拨款收入支出预算总体情况说明</w:t>
      </w:r>
      <w:r>
        <w:rPr>
          <w:rFonts w:hint="eastAsia" w:ascii="仿宋_GB2312" w:hAnsi="宋体" w:eastAsia="仿宋_GB2312" w:cs="仿宋_GB2312"/>
          <w:color w:val="333333"/>
          <w:spacing w:val="0"/>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一般公共预算收支预算8680.41万元，政府性基金收支预算1146.66万元。与2018年相比，一般公共预算收支预算增加1403.43万元，增长17.31%，主要原因：增加上年结转结余资金公共预算资金、工资调标人员经费增加；政府性基金收支预算增加366.35万元，增长40.25%主要原因是：上年结转结余资金、满天星视频监控系统、公安局视频中心无缝显示屏三期租赁费、县城区规划道路标线停车位系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五、一般公共预算支出预算情况说明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一般公共预算支出年初预算为9514.14万元。主要用于以下方面：公共安全支出8223.41万元，占86.43%；社会保障和就业支出496.19万元，占5.21%；医疗卫生与计划生育支出99.42万元，占1.04%；住房保障支出226.37</w:t>
      </w:r>
      <w:bookmarkStart w:id="0" w:name="_GoBack"/>
      <w:bookmarkEnd w:id="0"/>
      <w:r>
        <w:rPr>
          <w:rFonts w:hint="eastAsia" w:ascii="仿宋_GB2312" w:hAnsi="宋体" w:eastAsia="仿宋_GB2312" w:cs="仿宋_GB2312"/>
          <w:i w:val="0"/>
          <w:color w:val="333333"/>
          <w:spacing w:val="0"/>
          <w:kern w:val="0"/>
          <w:sz w:val="32"/>
          <w:szCs w:val="32"/>
          <w:vertAlign w:val="baseline"/>
          <w:lang w:val="en-US" w:eastAsia="zh-CN" w:bidi="ar"/>
        </w:rPr>
        <w:t>万元，占2.38%；灾害防治及应急管理支出468.75万元，占比4.94%。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六、一般公共预算基本支出情况说明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仿宋_GB2312" w:eastAsia="仿宋_GB2312" w:cs="仿宋_GB2312"/>
          <w:kern w:val="0"/>
          <w:sz w:val="32"/>
          <w:szCs w:val="32"/>
          <w:lang w:eastAsia="zh-CN"/>
        </w:rPr>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南乐县公安局2019年一般公共预算基本支出年初预算为4019.21万元。</w:t>
      </w:r>
      <w:r>
        <w:rPr>
          <w:rFonts w:hint="eastAsia" w:ascii="仿宋_GB2312" w:hAnsi="宋体" w:eastAsia="仿宋_GB2312" w:cs="仿宋_GB2312"/>
          <w:b/>
          <w:bCs/>
          <w:i w:val="0"/>
          <w:color w:val="333333"/>
          <w:spacing w:val="0"/>
          <w:kern w:val="0"/>
          <w:sz w:val="32"/>
          <w:szCs w:val="32"/>
          <w:vertAlign w:val="baseline"/>
          <w:lang w:val="en-US" w:eastAsia="zh-CN" w:bidi="ar"/>
        </w:rPr>
        <w:t>人员经费3674.25万元，</w:t>
      </w:r>
      <w:r>
        <w:rPr>
          <w:rFonts w:hint="eastAsia" w:ascii="仿宋_GB2312" w:hAnsi="仿宋_GB2312" w:eastAsia="仿宋_GB2312" w:cs="仿宋_GB2312"/>
          <w:kern w:val="0"/>
          <w:sz w:val="32"/>
          <w:szCs w:val="32"/>
          <w:highlight w:val="none"/>
        </w:rPr>
        <w:t>主要包括：</w:t>
      </w:r>
      <w:r>
        <w:rPr>
          <w:rFonts w:hint="eastAsia" w:ascii="仿宋_GB2312" w:hAnsi="仿宋_GB2312" w:eastAsia="仿宋_GB2312" w:cs="仿宋_GB2312"/>
          <w:kern w:val="0"/>
          <w:sz w:val="32"/>
          <w:szCs w:val="32"/>
        </w:rPr>
        <w:t>基本工资、津贴补贴、奖金、绩效工资、机关事业单位基本养老保险缴费、医疗保险缴费、其他社会保障缴费、住房公积金、退休费、其他对个人和家庭的补助支出；</w:t>
      </w:r>
      <w:r>
        <w:rPr>
          <w:rFonts w:hint="eastAsia" w:ascii="仿宋_GB2312" w:hAnsi="仿宋_GB2312" w:eastAsia="仿宋_GB2312" w:cs="仿宋_GB2312"/>
          <w:b/>
          <w:bCs/>
          <w:kern w:val="0"/>
          <w:sz w:val="32"/>
          <w:szCs w:val="32"/>
        </w:rPr>
        <w:t>公用经费</w:t>
      </w:r>
      <w:r>
        <w:rPr>
          <w:rFonts w:hint="eastAsia" w:ascii="仿宋_GB2312" w:hAnsi="仿宋_GB2312" w:eastAsia="仿宋_GB2312" w:cs="仿宋_GB2312"/>
          <w:b/>
          <w:bCs/>
          <w:kern w:val="0"/>
          <w:sz w:val="32"/>
          <w:szCs w:val="32"/>
          <w:lang w:val="en-US" w:eastAsia="zh-CN"/>
        </w:rPr>
        <w:t>344.97</w:t>
      </w:r>
      <w:r>
        <w:rPr>
          <w:rFonts w:hint="eastAsia" w:ascii="仿宋_GB2312" w:hAnsi="仿宋_GB2312" w:eastAsia="仿宋_GB2312" w:cs="仿宋_GB2312"/>
          <w:b/>
          <w:bCs/>
          <w:kern w:val="0"/>
          <w:sz w:val="32"/>
          <w:szCs w:val="32"/>
        </w:rPr>
        <w:t>万元</w:t>
      </w:r>
      <w:r>
        <w:rPr>
          <w:rFonts w:hint="eastAsia" w:ascii="仿宋_GB2312" w:hAnsi="仿宋_GB2312" w:eastAsia="仿宋_GB2312" w:cs="仿宋_GB2312"/>
          <w:kern w:val="0"/>
          <w:sz w:val="32"/>
          <w:szCs w:val="32"/>
        </w:rPr>
        <w:t>，主要包括：办公费、印刷费、水费、电费、差旅费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培训费、</w:t>
      </w:r>
      <w:r>
        <w:rPr>
          <w:rFonts w:hint="eastAsia" w:ascii="仿宋_GB2312" w:hAnsi="仿宋_GB2312" w:eastAsia="仿宋_GB2312" w:cs="仿宋_GB2312"/>
          <w:kern w:val="0"/>
          <w:sz w:val="32"/>
          <w:szCs w:val="32"/>
          <w:lang w:val="en-US" w:eastAsia="zh-CN"/>
        </w:rPr>
        <w:t>被装购置费</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工会经费</w:t>
      </w:r>
      <w:r>
        <w:rPr>
          <w:rFonts w:hint="eastAsia" w:ascii="仿宋_GB2312" w:hAnsi="仿宋_GB2312" w:eastAsia="仿宋_GB2312" w:cs="仿宋_GB2312"/>
          <w:kern w:val="0"/>
          <w:sz w:val="32"/>
          <w:szCs w:val="32"/>
        </w:rPr>
        <w:t>、公务用车运行维护费、其他交通费用</w:t>
      </w:r>
      <w:r>
        <w:rPr>
          <w:rFonts w:hint="eastAsia" w:ascii="仿宋_GB2312" w:hAnsi="仿宋_GB2312" w:eastAsia="仿宋_GB2312" w:cs="仿宋_GB2312"/>
          <w:kern w:val="0"/>
          <w:sz w:val="32"/>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仿宋_GB2312" w:eastAsia="仿宋_GB2312" w:cs="仿宋_GB2312"/>
          <w:kern w:val="0"/>
          <w:sz w:val="32"/>
          <w:szCs w:val="32"/>
          <w:lang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七、政府性基金预算收支情况说明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仿宋_GB2312" w:eastAsia="仿宋_GB2312" w:cs="仿宋_GB2312"/>
          <w:kern w:val="0"/>
          <w:sz w:val="32"/>
          <w:szCs w:val="32"/>
          <w:lang w:eastAsia="zh-CN"/>
        </w:rPr>
      </w:pPr>
      <w:r>
        <w:rPr>
          <w:rFonts w:hint="eastAsia" w:ascii="仿宋_GB2312" w:hAnsi="宋体" w:eastAsia="仿宋_GB2312" w:cs="仿宋_GB2312"/>
          <w:i w:val="0"/>
          <w:color w:val="333333"/>
          <w:spacing w:val="0"/>
          <w:kern w:val="0"/>
          <w:sz w:val="32"/>
          <w:szCs w:val="32"/>
          <w:vertAlign w:val="baseline"/>
          <w:lang w:val="en-US" w:eastAsia="zh-CN" w:bidi="ar"/>
        </w:rPr>
        <w:t>我局2019年府性基金预算支出年初预算为1276.65万元。用于城市建设支出1276.65万元，主要用于满天星“312345”工程、南乐县公安局无缝显示屏项目、南乐县公安局高清视频监控包1工程。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八、“三公”经费支出预算情况说明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南乐县公安局2019年“三公</w:t>
      </w:r>
      <w:r>
        <w:rPr>
          <w:rFonts w:hint="default" w:ascii="微软雅黑" w:hAnsi="微软雅黑" w:eastAsia="微软雅黑" w:cs="微软雅黑"/>
          <w:i w:val="0"/>
          <w:color w:val="333333"/>
          <w:spacing w:val="0"/>
          <w:kern w:val="0"/>
          <w:sz w:val="32"/>
          <w:szCs w:val="32"/>
          <w:vertAlign w:val="baseline"/>
          <w:lang w:val="en-US" w:eastAsia="zh-CN" w:bidi="ar"/>
        </w:rPr>
        <w:t>”</w:t>
      </w:r>
      <w:r>
        <w:rPr>
          <w:rFonts w:hint="eastAsia" w:ascii="仿宋_GB2312" w:hAnsi="宋体" w:eastAsia="仿宋_GB2312" w:cs="仿宋_GB2312"/>
          <w:i w:val="0"/>
          <w:color w:val="333333"/>
          <w:spacing w:val="0"/>
          <w:kern w:val="0"/>
          <w:sz w:val="32"/>
          <w:szCs w:val="32"/>
          <w:vertAlign w:val="baseline"/>
          <w:lang w:val="en-US" w:eastAsia="zh-CN" w:bidi="ar"/>
        </w:rPr>
        <w:t>经费预算326.64万元。比 2018年预算数减少27.36万元，下降7.72%。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具体支出情况如下：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b/>
          <w:i w:val="0"/>
          <w:color w:val="333333"/>
          <w:spacing w:val="0"/>
          <w:kern w:val="0"/>
          <w:sz w:val="32"/>
          <w:szCs w:val="32"/>
          <w:vertAlign w:val="baseline"/>
          <w:lang w:val="en-US" w:eastAsia="zh-CN" w:bidi="ar"/>
        </w:rPr>
        <w:t>（一）因公出国（境）费0万元</w:t>
      </w:r>
      <w:r>
        <w:rPr>
          <w:rFonts w:hint="eastAsia" w:ascii="仿宋_GB2312" w:hAnsi="宋体" w:eastAsia="仿宋_GB2312" w:cs="仿宋_GB2312"/>
          <w:i w:val="0"/>
          <w:color w:val="333333"/>
          <w:spacing w:val="0"/>
          <w:kern w:val="0"/>
          <w:sz w:val="32"/>
          <w:szCs w:val="32"/>
          <w:vertAlign w:val="baseline"/>
          <w:lang w:val="en-US" w:eastAsia="zh-CN" w:bidi="ar"/>
        </w:rPr>
        <w:t>，主要用于单位工作人员公务出国（境）的住宿费、旅费、伙食补助费、杂费、培训费等支出。预算数比 2018年增加0万元，较上年无变化。主要原因：无此项费用。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b/>
          <w:i w:val="0"/>
          <w:color w:val="333333"/>
          <w:spacing w:val="0"/>
          <w:kern w:val="0"/>
          <w:sz w:val="32"/>
          <w:szCs w:val="32"/>
          <w:vertAlign w:val="baseline"/>
          <w:lang w:val="en-US" w:eastAsia="zh-CN" w:bidi="ar"/>
        </w:rPr>
        <w:t>（二）公务用车购置及运行费322.64万元</w:t>
      </w:r>
      <w:r>
        <w:rPr>
          <w:rFonts w:hint="eastAsia" w:ascii="仿宋_GB2312" w:hAnsi="宋体" w:eastAsia="仿宋_GB2312" w:cs="仿宋_GB2312"/>
          <w:i w:val="0"/>
          <w:color w:val="333333"/>
          <w:spacing w:val="0"/>
          <w:kern w:val="0"/>
          <w:sz w:val="32"/>
          <w:szCs w:val="32"/>
          <w:vertAlign w:val="baseline"/>
          <w:lang w:val="en-US" w:eastAsia="zh-CN" w:bidi="ar"/>
        </w:rPr>
        <w:t>，其中，公务用车购置费0万元，比2018年减少0万元，较上年无变化，主要原因：无此项支出；公务用车运行维护费322.64万元，主要用于开展工作所需公务用车的燃料费、维修费、过路过桥费、保险费、等支出，比 2018年减少27.36万元，较上年下降7.72%，主要原因：我局严格认真贯彻落实中央八项规定精神，坚持厉行勤俭节约，强化公务用车管理，严格控制公务用车购置及运行费支出。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b/>
          <w:i w:val="0"/>
          <w:color w:val="333333"/>
          <w:spacing w:val="0"/>
          <w:kern w:val="0"/>
          <w:sz w:val="32"/>
          <w:szCs w:val="32"/>
          <w:vertAlign w:val="baseline"/>
          <w:lang w:val="en-US" w:eastAsia="zh-CN" w:bidi="ar"/>
        </w:rPr>
        <w:t>（三）公务接待费4万元</w:t>
      </w:r>
      <w:r>
        <w:rPr>
          <w:rFonts w:hint="eastAsia" w:ascii="仿宋_GB2312" w:hAnsi="宋体" w:eastAsia="仿宋_GB2312" w:cs="仿宋_GB2312"/>
          <w:i w:val="0"/>
          <w:color w:val="333333"/>
          <w:spacing w:val="0"/>
          <w:kern w:val="0"/>
          <w:sz w:val="32"/>
          <w:szCs w:val="32"/>
          <w:vertAlign w:val="baseline"/>
          <w:lang w:val="en-US" w:eastAsia="zh-CN" w:bidi="ar"/>
        </w:rPr>
        <w:t>，主要用于按规定开支的各类公务接待（含外宾接待）支出。比 2018年预算数增加0万元，较上年无变化。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黑体" w:hAnsi="宋体" w:eastAsia="黑体" w:cs="黑体"/>
          <w:i w:val="0"/>
          <w:color w:val="333333"/>
          <w:spacing w:val="0"/>
          <w:kern w:val="0"/>
          <w:sz w:val="32"/>
          <w:szCs w:val="32"/>
          <w:vertAlign w:val="baseline"/>
          <w:lang w:val="en-US" w:eastAsia="zh-CN" w:bidi="ar"/>
        </w:rPr>
        <w:t>九、其他重要事项的情况说明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highlight w:val="none"/>
        </w:rPr>
      </w:pPr>
      <w:r>
        <w:rPr>
          <w:rFonts w:hint="eastAsia" w:ascii="仿宋_GB2312" w:hAnsi="宋体" w:eastAsia="仿宋_GB2312" w:cs="仿宋_GB2312"/>
          <w:b/>
          <w:i w:val="0"/>
          <w:color w:val="333333"/>
          <w:spacing w:val="0"/>
          <w:kern w:val="0"/>
          <w:sz w:val="32"/>
          <w:szCs w:val="32"/>
          <w:highlight w:val="none"/>
          <w:vertAlign w:val="baseline"/>
          <w:lang w:val="en-US" w:eastAsia="zh-CN" w:bidi="ar"/>
        </w:rPr>
        <w:t>（一）机关运行经费支出情况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仿宋_GB2312" w:eastAsia="仿宋_GB2312" w:cs="仿宋_GB2312"/>
          <w:sz w:val="32"/>
          <w:szCs w:val="32"/>
        </w:rPr>
      </w:pPr>
      <w:r>
        <w:rPr>
          <w:rFonts w:hint="eastAsia" w:ascii="仿宋_GB2312" w:hAnsi="宋体" w:eastAsia="仿宋_GB2312" w:cs="仿宋_GB2312"/>
          <w:i w:val="0"/>
          <w:color w:val="333333"/>
          <w:spacing w:val="0"/>
          <w:kern w:val="0"/>
          <w:sz w:val="32"/>
          <w:szCs w:val="32"/>
          <w:highlight w:val="none"/>
          <w:vertAlign w:val="baseline"/>
          <w:lang w:val="en-US" w:eastAsia="zh-CN" w:bidi="ar"/>
        </w:rPr>
        <w:t>南乐县公安局2019年机关运行经费支出预算344.97万元，</w:t>
      </w:r>
      <w:r>
        <w:rPr>
          <w:rFonts w:hint="eastAsia" w:ascii="仿宋_GB2312" w:hAnsi="仿宋_GB2312" w:eastAsia="仿宋_GB2312" w:cs="仿宋_GB2312"/>
          <w:sz w:val="32"/>
          <w:szCs w:val="32"/>
          <w:highlight w:val="none"/>
        </w:rPr>
        <w:t>主要保障机关机构正常运转及正常履职需要的办公费、水电费、物业</w:t>
      </w:r>
      <w:r>
        <w:rPr>
          <w:rFonts w:hint="eastAsia" w:ascii="仿宋_GB2312" w:hAnsi="仿宋_GB2312" w:eastAsia="仿宋_GB2312" w:cs="仿宋_GB2312"/>
          <w:sz w:val="32"/>
          <w:szCs w:val="32"/>
        </w:rPr>
        <w:t>费、维修费、差旅费等支出，比</w:t>
      </w: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年增加</w:t>
      </w:r>
      <w:r>
        <w:rPr>
          <w:rFonts w:hint="eastAsia" w:ascii="仿宋_GB2312" w:hAnsi="仿宋_GB2312" w:eastAsia="仿宋_GB2312" w:cs="仿宋_GB2312"/>
          <w:sz w:val="32"/>
          <w:szCs w:val="32"/>
          <w:lang w:val="en-US" w:eastAsia="zh-CN"/>
        </w:rPr>
        <w:t>86.27</w:t>
      </w:r>
      <w:r>
        <w:rPr>
          <w:rFonts w:hint="eastAsia" w:ascii="仿宋_GB2312" w:hAnsi="仿宋_GB2312" w:eastAsia="仿宋_GB2312" w:cs="仿宋_GB2312"/>
          <w:kern w:val="0"/>
          <w:sz w:val="32"/>
          <w:szCs w:val="32"/>
        </w:rPr>
        <w:t>万元，增长</w:t>
      </w:r>
      <w:r>
        <w:rPr>
          <w:rFonts w:hint="eastAsia" w:ascii="仿宋_GB2312" w:hAnsi="仿宋_GB2312" w:eastAsia="仿宋_GB2312" w:cs="仿宋_GB2312"/>
          <w:kern w:val="0"/>
          <w:sz w:val="32"/>
          <w:szCs w:val="32"/>
          <w:lang w:val="en-US" w:eastAsia="zh-CN"/>
        </w:rPr>
        <w:t>33.35%</w:t>
      </w:r>
      <w:r>
        <w:rPr>
          <w:rFonts w:hint="eastAsia" w:ascii="仿宋_GB2312" w:hAnsi="仿宋_GB2312" w:eastAsia="仿宋_GB2312" w:cs="仿宋_GB2312"/>
          <w:kern w:val="0"/>
          <w:sz w:val="32"/>
          <w:szCs w:val="32"/>
        </w:rPr>
        <w:t>，主要原因：</w:t>
      </w:r>
      <w:r>
        <w:rPr>
          <w:rFonts w:hint="eastAsia" w:ascii="仿宋_GB2312" w:hAnsi="仿宋_GB2312" w:eastAsia="仿宋_GB2312" w:cs="仿宋_GB2312"/>
          <w:kern w:val="0"/>
          <w:sz w:val="32"/>
          <w:szCs w:val="32"/>
          <w:lang w:val="en-US" w:eastAsia="zh-CN"/>
        </w:rPr>
        <w:t>人均公用经费标准由原来3000元/年，提高至人均5000元/年</w:t>
      </w:r>
      <w:r>
        <w:rPr>
          <w:rFonts w:hint="eastAsia" w:ascii="仿宋_GB2312" w:hAnsi="仿宋_GB2312" w:eastAsia="仿宋_GB2312" w:cs="仿宋_GB2312"/>
          <w:sz w:val="32"/>
          <w:szCs w:val="32"/>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b/>
          <w:i w:val="0"/>
          <w:color w:val="333333"/>
          <w:spacing w:val="0"/>
          <w:kern w:val="0"/>
          <w:sz w:val="32"/>
          <w:szCs w:val="32"/>
          <w:vertAlign w:val="baseline"/>
          <w:lang w:val="en-US" w:eastAsia="zh-CN" w:bidi="ar"/>
        </w:rPr>
        <w:t>（二）政府采购支出情况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2019年政府采购预算安排0万元，本年未安排此项支出。</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404" w:leftChars="200" w:right="-150" w:firstLine="0" w:firstLineChars="0"/>
        <w:jc w:val="left"/>
        <w:textAlignment w:val="baseline"/>
        <w:rPr>
          <w:rFonts w:hint="eastAsia" w:ascii="仿宋_GB2312" w:hAnsi="宋体" w:eastAsia="仿宋_GB2312" w:cs="仿宋_GB2312"/>
          <w:b/>
          <w:i w:val="0"/>
          <w:color w:val="333333"/>
          <w:spacing w:val="0"/>
          <w:kern w:val="0"/>
          <w:sz w:val="32"/>
          <w:szCs w:val="32"/>
          <w:highlight w:val="none"/>
          <w:vertAlign w:val="baseline"/>
          <w:lang w:val="en-US" w:eastAsia="zh-CN" w:bidi="ar"/>
        </w:rPr>
      </w:pPr>
      <w:r>
        <w:rPr>
          <w:rFonts w:hint="eastAsia" w:ascii="仿宋_GB2312" w:hAnsi="宋体" w:eastAsia="仿宋_GB2312" w:cs="仿宋_GB2312"/>
          <w:b/>
          <w:i w:val="0"/>
          <w:color w:val="333333"/>
          <w:spacing w:val="0"/>
          <w:kern w:val="0"/>
          <w:sz w:val="32"/>
          <w:szCs w:val="32"/>
          <w:highlight w:val="none"/>
          <w:vertAlign w:val="baseline"/>
          <w:lang w:val="en-US" w:eastAsia="zh-CN" w:bidi="ar"/>
        </w:rPr>
        <w:t>关于预算绩效管理工作开展情况说明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highlight w:val="none"/>
        </w:rPr>
      </w:pPr>
      <w:r>
        <w:rPr>
          <w:rFonts w:hint="eastAsia" w:ascii="仿宋_GB2312" w:hAnsi="仿宋_GB2312" w:eastAsia="仿宋_GB2312" w:cs="仿宋_GB2312"/>
          <w:sz w:val="32"/>
          <w:szCs w:val="32"/>
          <w:lang w:eastAsia="zh-CN"/>
        </w:rPr>
        <w:t>2018</w:t>
      </w:r>
      <w:r>
        <w:rPr>
          <w:rFonts w:hint="eastAsia" w:ascii="仿宋_GB2312" w:hAnsi="仿宋_GB2312" w:eastAsia="仿宋_GB2312" w:cs="仿宋_GB2312"/>
          <w:sz w:val="32"/>
          <w:szCs w:val="32"/>
        </w:rPr>
        <w:t>年,我部门对</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个项目进行了预算绩效评价，涉及资金</w:t>
      </w:r>
      <w:r>
        <w:rPr>
          <w:rFonts w:hint="eastAsia" w:ascii="仿宋_GB2312" w:hAnsi="仿宋_GB2312" w:eastAsia="仿宋_GB2312" w:cs="仿宋_GB2312"/>
          <w:sz w:val="32"/>
          <w:szCs w:val="32"/>
          <w:lang w:val="en-US" w:eastAsia="zh-CN"/>
        </w:rPr>
        <w:t>9021.14</w:t>
      </w:r>
      <w:r>
        <w:rPr>
          <w:rFonts w:hint="eastAsia" w:ascii="仿宋_GB2312" w:hAnsi="仿宋_GB2312" w:eastAsia="仿宋_GB2312" w:cs="仿宋_GB2312"/>
          <w:sz w:val="32"/>
          <w:szCs w:val="32"/>
        </w:rPr>
        <w:t>万元。</w:t>
      </w:r>
      <w:r>
        <w:rPr>
          <w:rFonts w:hint="eastAsia"/>
          <w:sz w:val="28"/>
          <w:szCs w:val="28"/>
        </w:rPr>
        <w:t xml:space="preserve"> </w:t>
      </w:r>
      <w:r>
        <w:rPr>
          <w:rFonts w:hint="eastAsia" w:ascii="仿宋_GB2312" w:hAnsi="仿宋_GB2312" w:eastAsia="仿宋_GB2312" w:cs="仿宋_GB2312"/>
          <w:sz w:val="32"/>
          <w:szCs w:val="32"/>
          <w:highlight w:val="none"/>
          <w:lang w:eastAsia="zh-CN"/>
        </w:rPr>
        <w:t>2019</w:t>
      </w:r>
      <w:r>
        <w:rPr>
          <w:rFonts w:hint="eastAsia" w:ascii="仿宋_GB2312" w:hAnsi="仿宋_GB2312" w:eastAsia="仿宋_GB2312" w:cs="仿宋_GB2312"/>
          <w:sz w:val="32"/>
          <w:szCs w:val="32"/>
          <w:highlight w:val="none"/>
        </w:rPr>
        <w:t>年，我部门纳入预算绩效管理的支出总额为</w:t>
      </w:r>
      <w:r>
        <w:rPr>
          <w:rFonts w:hint="eastAsia" w:ascii="仿宋_GB2312" w:hAnsi="仿宋_GB2312" w:eastAsia="仿宋_GB2312" w:cs="仿宋_GB2312"/>
          <w:sz w:val="32"/>
          <w:szCs w:val="32"/>
          <w:highlight w:val="none"/>
          <w:lang w:val="en-US" w:eastAsia="zh-CN"/>
        </w:rPr>
        <w:t>10790.8</w:t>
      </w:r>
      <w:r>
        <w:rPr>
          <w:rFonts w:hint="eastAsia" w:ascii="仿宋_GB2312" w:hAnsi="仿宋_GB2312" w:eastAsia="仿宋_GB2312" w:cs="仿宋_GB2312"/>
          <w:sz w:val="32"/>
          <w:szCs w:val="32"/>
          <w:highlight w:val="none"/>
        </w:rPr>
        <w:t>万元，其中人员经费支出</w:t>
      </w:r>
      <w:r>
        <w:rPr>
          <w:rFonts w:hint="eastAsia" w:ascii="仿宋_GB2312" w:hAnsi="仿宋_GB2312" w:eastAsia="仿宋_GB2312" w:cs="仿宋_GB2312"/>
          <w:kern w:val="0"/>
          <w:sz w:val="32"/>
          <w:szCs w:val="32"/>
          <w:highlight w:val="none"/>
          <w:lang w:val="en-US" w:eastAsia="zh-CN"/>
        </w:rPr>
        <w:t>3537.24</w:t>
      </w:r>
      <w:r>
        <w:rPr>
          <w:rFonts w:hint="eastAsia" w:ascii="仿宋_GB2312" w:hAnsi="仿宋_GB2312" w:eastAsia="仿宋_GB2312" w:cs="仿宋_GB2312"/>
          <w:sz w:val="32"/>
          <w:szCs w:val="32"/>
          <w:highlight w:val="none"/>
        </w:rPr>
        <w:t>万元，公用经费支出</w:t>
      </w:r>
      <w:r>
        <w:rPr>
          <w:rFonts w:hint="eastAsia" w:ascii="仿宋_GB2312" w:hAnsi="仿宋_GB2312" w:eastAsia="仿宋_GB2312" w:cs="仿宋_GB2312"/>
          <w:kern w:val="0"/>
          <w:sz w:val="32"/>
          <w:szCs w:val="32"/>
          <w:highlight w:val="none"/>
          <w:lang w:val="en-US" w:eastAsia="zh-CN"/>
        </w:rPr>
        <w:t>344.97</w:t>
      </w:r>
      <w:r>
        <w:rPr>
          <w:rFonts w:hint="eastAsia" w:ascii="仿宋_GB2312" w:hAnsi="仿宋_GB2312" w:eastAsia="仿宋_GB2312" w:cs="仿宋_GB2312"/>
          <w:sz w:val="32"/>
          <w:szCs w:val="32"/>
          <w:highlight w:val="none"/>
        </w:rPr>
        <w:t>万元，支出项目共</w:t>
      </w:r>
      <w:r>
        <w:rPr>
          <w:rFonts w:hint="eastAsia" w:ascii="仿宋_GB2312" w:hAnsi="仿宋_GB2312" w:eastAsia="仿宋_GB2312" w:cs="仿宋_GB2312"/>
          <w:kern w:val="0"/>
          <w:sz w:val="32"/>
          <w:szCs w:val="32"/>
          <w:highlight w:val="none"/>
          <w:lang w:val="en-US" w:eastAsia="zh-CN"/>
        </w:rPr>
        <w:t>28</w:t>
      </w:r>
      <w:r>
        <w:rPr>
          <w:rFonts w:hint="eastAsia" w:ascii="仿宋_GB2312" w:hAnsi="仿宋_GB2312" w:eastAsia="仿宋_GB2312" w:cs="仿宋_GB2312"/>
          <w:sz w:val="32"/>
          <w:szCs w:val="32"/>
          <w:highlight w:val="none"/>
        </w:rPr>
        <w:t>个，支出总额</w:t>
      </w:r>
      <w:r>
        <w:rPr>
          <w:rFonts w:hint="eastAsia" w:ascii="仿宋_GB2312" w:hAnsi="仿宋_GB2312" w:eastAsia="仿宋_GB2312" w:cs="仿宋_GB2312"/>
          <w:kern w:val="0"/>
          <w:sz w:val="32"/>
          <w:szCs w:val="32"/>
          <w:highlight w:val="none"/>
          <w:lang w:val="en-US" w:eastAsia="zh-CN"/>
        </w:rPr>
        <w:t>6771.58</w:t>
      </w:r>
      <w:r>
        <w:rPr>
          <w:rFonts w:hint="eastAsia" w:ascii="仿宋_GB2312" w:hAnsi="仿宋_GB2312" w:eastAsia="仿宋_GB2312" w:cs="仿宋_GB2312"/>
          <w:sz w:val="32"/>
          <w:szCs w:val="32"/>
          <w:highlight w:val="none"/>
        </w:rPr>
        <w:t>万元，其中预算支出100万元及100万元以上项目</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个，支出总额</w:t>
      </w:r>
      <w:r>
        <w:rPr>
          <w:rFonts w:hint="eastAsia" w:ascii="仿宋_GB2312" w:hAnsi="仿宋_GB2312" w:eastAsia="仿宋_GB2312" w:cs="仿宋_GB2312"/>
          <w:kern w:val="0"/>
          <w:sz w:val="32"/>
          <w:szCs w:val="32"/>
          <w:highlight w:val="none"/>
          <w:lang w:val="en-US" w:eastAsia="zh-CN"/>
        </w:rPr>
        <w:t>5042</w:t>
      </w:r>
      <w:r>
        <w:rPr>
          <w:rFonts w:hint="eastAsia" w:ascii="仿宋_GB2312" w:hAnsi="仿宋_GB2312" w:eastAsia="仿宋_GB2312" w:cs="仿宋_GB2312"/>
          <w:sz w:val="32"/>
          <w:szCs w:val="32"/>
          <w:highlight w:val="none"/>
        </w:rPr>
        <w:t>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b/>
          <w:i w:val="0"/>
          <w:color w:val="333333"/>
          <w:spacing w:val="0"/>
          <w:kern w:val="0"/>
          <w:sz w:val="32"/>
          <w:szCs w:val="32"/>
          <w:vertAlign w:val="baseline"/>
          <w:lang w:val="en-US" w:eastAsia="zh-CN" w:bidi="ar"/>
        </w:rPr>
        <w:t>（四）国有资产占用情况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highlight w:val="none"/>
        </w:rPr>
      </w:pPr>
      <w:r>
        <w:rPr>
          <w:rFonts w:hint="eastAsia" w:ascii="仿宋_GB2312" w:hAnsi="宋体" w:eastAsia="仿宋_GB2312" w:cs="仿宋_GB2312"/>
          <w:i w:val="0"/>
          <w:color w:val="333333"/>
          <w:spacing w:val="0"/>
          <w:kern w:val="0"/>
          <w:sz w:val="32"/>
          <w:szCs w:val="32"/>
          <w:highlight w:val="none"/>
          <w:vertAlign w:val="baseline"/>
          <w:lang w:val="en-US" w:eastAsia="zh-CN" w:bidi="ar"/>
        </w:rPr>
        <w:t>2018年期末，南乐县公安局固定资产总额7165.58万元，其中，房屋建筑物1064.02万元，车辆748.55万元。共有车辆69辆，其中：一般执法执勤用车69辆；单位价值50万元以上通用设备10台（套），单位价值100万元以上专用设备2台（套）。</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宋体" w:eastAsia="仿宋_GB2312" w:cs="仿宋_GB2312"/>
          <w:b/>
          <w:i w:val="0"/>
          <w:color w:val="333333"/>
          <w:spacing w:val="0"/>
          <w:kern w:val="0"/>
          <w:sz w:val="32"/>
          <w:szCs w:val="32"/>
          <w:vertAlign w:val="baseline"/>
          <w:lang w:val="en-US" w:eastAsia="zh-CN" w:bidi="ar"/>
        </w:rPr>
      </w:pPr>
      <w:r>
        <w:rPr>
          <w:rFonts w:hint="eastAsia" w:ascii="仿宋_GB2312" w:hAnsi="宋体" w:eastAsia="仿宋_GB2312" w:cs="仿宋_GB2312"/>
          <w:b/>
          <w:i w:val="0"/>
          <w:color w:val="333333"/>
          <w:spacing w:val="0"/>
          <w:kern w:val="0"/>
          <w:sz w:val="32"/>
          <w:szCs w:val="32"/>
          <w:vertAlign w:val="baseline"/>
          <w:lang w:val="en-US" w:eastAsia="zh-CN" w:bidi="ar"/>
        </w:rPr>
        <w:t>关于预算部门构成说明</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2019</w:t>
      </w:r>
      <w:r>
        <w:rPr>
          <w:rFonts w:hint="eastAsia" w:ascii="仿宋_GB2312" w:hAnsi="仿宋_GB2312" w:eastAsia="仿宋_GB2312" w:cs="仿宋_GB2312"/>
          <w:sz w:val="32"/>
          <w:szCs w:val="32"/>
        </w:rPr>
        <w:t>年我单位按照</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财政预算公开要求，将所属预算单位全部纳入预算公开范围。</w:t>
      </w: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 </w:t>
      </w:r>
      <w:r>
        <w:rPr>
          <w:rFonts w:hint="eastAsia" w:ascii="仿宋_GB2312" w:hAnsi="宋体" w:eastAsia="仿宋_GB2312" w:cs="仿宋_GB2312"/>
          <w:i w:val="0"/>
          <w:color w:val="333333"/>
          <w:spacing w:val="0"/>
          <w:kern w:val="0"/>
          <w:sz w:val="32"/>
          <w:szCs w:val="32"/>
          <w:vertAlign w:val="baseline"/>
          <w:lang w:val="en-US" w:eastAsia="zh-CN" w:bidi="ar"/>
        </w:rPr>
        <w:tab/>
      </w: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left="-150"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tabs>
          <w:tab w:val="center" w:pos="4422"/>
        </w:tabs>
        <w:spacing w:before="0" w:beforeAutospacing="0" w:after="225" w:afterAutospacing="0" w:line="540" w:lineRule="atLeast"/>
        <w:ind w:right="-150"/>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center"/>
        <w:textAlignment w:val="baseline"/>
      </w:pPr>
      <w:r>
        <w:rPr>
          <w:rFonts w:hint="eastAsia" w:ascii="黑体" w:hAnsi="宋体" w:eastAsia="黑体" w:cs="黑体"/>
          <w:i w:val="0"/>
          <w:color w:val="333333"/>
          <w:spacing w:val="0"/>
          <w:kern w:val="0"/>
          <w:sz w:val="32"/>
          <w:szCs w:val="32"/>
          <w:vertAlign w:val="baseline"/>
          <w:lang w:val="en-US" w:eastAsia="zh-CN" w:bidi="ar"/>
        </w:rPr>
        <w:t>第三部分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一、财政拨款收入：是指县级财政当年拨付的资金。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二、事业收入：是指事业单位开展专业活动及辅助活动所取得的收入。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 xml:space="preserve">三、其他收入：是指部门取得的除“财政拨款”、“事业收入”、“事业单位经营收入”等以外的收入。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四、基本支出：是指为保障机构正常运转、完成日常工作任务所必需的开支，其内容包括人员经费和日常公用经费两部分。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五、项目支出：是指在基本支出之外，为完成特定的行政工作任务或事业发展目标所发生的支出。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pPr>
      <w:r>
        <w:rPr>
          <w:rFonts w:hint="eastAsia" w:ascii="仿宋_GB2312" w:hAnsi="宋体" w:eastAsia="仿宋_GB2312" w:cs="仿宋_GB2312"/>
          <w:i w:val="0"/>
          <w:color w:val="333333"/>
          <w:spacing w:val="0"/>
          <w:kern w:val="0"/>
          <w:sz w:val="32"/>
          <w:szCs w:val="32"/>
          <w:vertAlign w:val="baseline"/>
          <w:lang w:val="en-US" w:eastAsia="zh-CN" w:bidi="ar"/>
        </w:rPr>
        <w:t>六、“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eastAsia"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七、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40" w:lineRule="atLeast"/>
        <w:ind w:left="-150" w:right="-150" w:firstLine="648"/>
        <w:jc w:val="left"/>
        <w:textAlignment w:val="baseline"/>
        <w:rPr>
          <w:rFonts w:hint="default" w:ascii="仿宋_GB2312" w:hAnsi="宋体" w:eastAsia="仿宋_GB2312" w:cs="仿宋_GB2312"/>
          <w:i w:val="0"/>
          <w:color w:val="333333"/>
          <w:spacing w:val="0"/>
          <w:kern w:val="0"/>
          <w:sz w:val="32"/>
          <w:szCs w:val="32"/>
          <w:vertAlign w:val="baseline"/>
          <w:lang w:val="en-US" w:eastAsia="zh-CN" w:bidi="ar"/>
        </w:rPr>
      </w:pPr>
      <w:r>
        <w:rPr>
          <w:rFonts w:hint="eastAsia" w:ascii="仿宋_GB2312" w:hAnsi="宋体" w:eastAsia="仿宋_GB2312" w:cs="仿宋_GB2312"/>
          <w:i w:val="0"/>
          <w:color w:val="333333"/>
          <w:spacing w:val="0"/>
          <w:kern w:val="0"/>
          <w:sz w:val="32"/>
          <w:szCs w:val="32"/>
          <w:vertAlign w:val="baseline"/>
          <w:lang w:val="en-US" w:eastAsia="zh-CN" w:bidi="ar"/>
        </w:rPr>
        <w:t>附件：南乐县公安局2019年度部门汇总预算表</w:t>
      </w:r>
    </w:p>
    <w:p>
      <w:pPr>
        <w:adjustRightInd w:val="0"/>
        <w:snapToGrid w:val="0"/>
        <w:spacing w:line="590" w:lineRule="exact"/>
        <w:ind w:firstLine="404" w:firstLineChars="200"/>
        <w:jc w:val="left"/>
        <w:rPr>
          <w:rFonts w:ascii="仿宋_GB2312" w:hAnsi="仿宋_GB2312" w:eastAsia="仿宋_GB2312" w:cs="仿宋_GB2312"/>
        </w:rPr>
      </w:pPr>
    </w:p>
    <w:sectPr>
      <w:pgSz w:w="11906" w:h="16838"/>
      <w:pgMar w:top="2154" w:right="1474" w:bottom="1757" w:left="1587" w:header="851" w:footer="992" w:gutter="0"/>
      <w:cols w:space="0" w:num="1"/>
      <w:docGrid w:type="linesAndChars" w:linePitch="312"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7C4CB6"/>
    <w:multiLevelType w:val="singleLevel"/>
    <w:tmpl w:val="A87C4CB6"/>
    <w:lvl w:ilvl="0" w:tentative="0">
      <w:start w:val="1"/>
      <w:numFmt w:val="chineseCounting"/>
      <w:suff w:val="nothing"/>
      <w:lvlText w:val="%1、"/>
      <w:lvlJc w:val="left"/>
      <w:rPr>
        <w:rFonts w:hint="eastAsia"/>
      </w:rPr>
    </w:lvl>
  </w:abstractNum>
  <w:abstractNum w:abstractNumId="1">
    <w:nsid w:val="26A6FA30"/>
    <w:multiLevelType w:val="singleLevel"/>
    <w:tmpl w:val="26A6FA30"/>
    <w:lvl w:ilvl="0" w:tentative="0">
      <w:start w:val="1"/>
      <w:numFmt w:val="chineseCounting"/>
      <w:suff w:val="nothing"/>
      <w:lvlText w:val="（%1）"/>
      <w:lvlJc w:val="left"/>
      <w:rPr>
        <w:rFonts w:hint="eastAsia"/>
      </w:rPr>
    </w:lvl>
  </w:abstractNum>
  <w:abstractNum w:abstractNumId="2">
    <w:nsid w:val="54A65E03"/>
    <w:multiLevelType w:val="singleLevel"/>
    <w:tmpl w:val="54A65E03"/>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1"/>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DD26A9"/>
    <w:rsid w:val="00010CB3"/>
    <w:rsid w:val="002D363C"/>
    <w:rsid w:val="00314E2E"/>
    <w:rsid w:val="003B6EEF"/>
    <w:rsid w:val="004004DB"/>
    <w:rsid w:val="004106B6"/>
    <w:rsid w:val="00655076"/>
    <w:rsid w:val="007B0E3C"/>
    <w:rsid w:val="008904E1"/>
    <w:rsid w:val="00917E00"/>
    <w:rsid w:val="00964446"/>
    <w:rsid w:val="00B24E91"/>
    <w:rsid w:val="00C014F8"/>
    <w:rsid w:val="00C06F25"/>
    <w:rsid w:val="00C72798"/>
    <w:rsid w:val="00C86003"/>
    <w:rsid w:val="00CF7164"/>
    <w:rsid w:val="00DC086B"/>
    <w:rsid w:val="00E20BBA"/>
    <w:rsid w:val="00E365D0"/>
    <w:rsid w:val="00EE4AB2"/>
    <w:rsid w:val="00F3603A"/>
    <w:rsid w:val="04D51A0C"/>
    <w:rsid w:val="05474990"/>
    <w:rsid w:val="06484FB7"/>
    <w:rsid w:val="07B27637"/>
    <w:rsid w:val="08817BF3"/>
    <w:rsid w:val="09765BCB"/>
    <w:rsid w:val="0BFC12C2"/>
    <w:rsid w:val="0F882C8B"/>
    <w:rsid w:val="1272042A"/>
    <w:rsid w:val="13DF2EB8"/>
    <w:rsid w:val="143A1F27"/>
    <w:rsid w:val="14E074A9"/>
    <w:rsid w:val="15E945C4"/>
    <w:rsid w:val="170A3FC4"/>
    <w:rsid w:val="17591265"/>
    <w:rsid w:val="20770ABE"/>
    <w:rsid w:val="20DD26A9"/>
    <w:rsid w:val="262C0377"/>
    <w:rsid w:val="2A141460"/>
    <w:rsid w:val="2D97621C"/>
    <w:rsid w:val="2E9A1699"/>
    <w:rsid w:val="30262645"/>
    <w:rsid w:val="30EF3401"/>
    <w:rsid w:val="31EF5365"/>
    <w:rsid w:val="329D5FC5"/>
    <w:rsid w:val="37590B63"/>
    <w:rsid w:val="39841043"/>
    <w:rsid w:val="3ACD08DD"/>
    <w:rsid w:val="3F7C19DA"/>
    <w:rsid w:val="40442497"/>
    <w:rsid w:val="42B239B8"/>
    <w:rsid w:val="44BA6193"/>
    <w:rsid w:val="472D3232"/>
    <w:rsid w:val="4BC00A7C"/>
    <w:rsid w:val="4C42122E"/>
    <w:rsid w:val="4D662DC1"/>
    <w:rsid w:val="4E046F84"/>
    <w:rsid w:val="4E2E1162"/>
    <w:rsid w:val="4E6D743A"/>
    <w:rsid w:val="513F3564"/>
    <w:rsid w:val="52E0623F"/>
    <w:rsid w:val="55C54128"/>
    <w:rsid w:val="57AD0E41"/>
    <w:rsid w:val="5966555F"/>
    <w:rsid w:val="597D5260"/>
    <w:rsid w:val="5C682E60"/>
    <w:rsid w:val="5D4F1B4B"/>
    <w:rsid w:val="5E4E29D4"/>
    <w:rsid w:val="5F27691D"/>
    <w:rsid w:val="5FB86371"/>
    <w:rsid w:val="5FC5627C"/>
    <w:rsid w:val="62494051"/>
    <w:rsid w:val="65762F3D"/>
    <w:rsid w:val="67545B2D"/>
    <w:rsid w:val="67AA5A2F"/>
    <w:rsid w:val="68697BD4"/>
    <w:rsid w:val="69437D6C"/>
    <w:rsid w:val="6E35646A"/>
    <w:rsid w:val="6EA86553"/>
    <w:rsid w:val="711E0931"/>
    <w:rsid w:val="72FC144D"/>
    <w:rsid w:val="78093E65"/>
    <w:rsid w:val="7A295461"/>
    <w:rsid w:val="7BEB39B7"/>
    <w:rsid w:val="7DA54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225" w:afterAutospacing="0" w:line="360" w:lineRule="atLeast"/>
      <w:ind w:left="0" w:right="0"/>
      <w:jc w:val="left"/>
    </w:pPr>
    <w:rPr>
      <w:kern w:val="0"/>
      <w:sz w:val="24"/>
      <w:lang w:val="en-US" w:eastAsia="zh-CN" w:bidi="ar"/>
    </w:rPr>
  </w:style>
  <w:style w:type="character" w:styleId="7">
    <w:name w:val="Hyperlink"/>
    <w:basedOn w:val="6"/>
    <w:qFormat/>
    <w:uiPriority w:val="0"/>
    <w:rPr>
      <w:color w:val="333333"/>
      <w:u w:val="none"/>
    </w:rPr>
  </w:style>
  <w:style w:type="character" w:customStyle="1" w:styleId="8">
    <w:name w:val="页眉 Char"/>
    <w:basedOn w:val="6"/>
    <w:link w:val="3"/>
    <w:qFormat/>
    <w:uiPriority w:val="0"/>
    <w:rPr>
      <w:rFonts w:ascii="Calibri" w:hAnsi="Calibri" w:eastAsiaTheme="minorEastAsia" w:cstheme="minorBidi"/>
      <w:kern w:val="2"/>
      <w:sz w:val="18"/>
      <w:szCs w:val="18"/>
    </w:rPr>
  </w:style>
  <w:style w:type="character" w:customStyle="1" w:styleId="9">
    <w:name w:val="页脚 Char"/>
    <w:basedOn w:val="6"/>
    <w:link w:val="2"/>
    <w:qFormat/>
    <w:uiPriority w:val="0"/>
    <w:rPr>
      <w:rFonts w:ascii="Calibri" w:hAnsi="Calibr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9</Pages>
  <Words>436</Words>
  <Characters>2487</Characters>
  <Lines>20</Lines>
  <Paragraphs>5</Paragraphs>
  <TotalTime>10</TotalTime>
  <ScaleCrop>false</ScaleCrop>
  <LinksUpToDate>false</LinksUpToDate>
  <CharactersWithSpaces>2918</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2018-01-04T09:29:00Z</dcterms:created>
  <dc:creator>Administrator</dc:creator>
  <cp:lastModifiedBy>跳跳糖</cp:lastModifiedBy>
  <cp:lastPrinted>2020-01-01T07:55:00Z</cp:lastPrinted>
  <dcterms:modified xsi:type="dcterms:W3CDTF">2021-06-10T06:01:18Z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E5D116F16C8846E7996B7D0B2DD3E5AB</vt:lpwstr>
  </property>
</Properties>
</file>