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hint="eastAsia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hint="eastAsia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  <w:t>南乐县农业畜牧局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hint="default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  <w:t>2019年度部门预算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right="0"/>
        <w:jc w:val="both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hint="default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  <w:lang w:val="en-US" w:eastAsia="zh-CN"/>
        </w:rPr>
        <w:t>2019年4月4日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left="0" w:right="0" w:firstLine="39"/>
        <w:jc w:val="center"/>
        <w:textAlignment w:val="baseline"/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225" w:afterAutospacing="0" w:line="360" w:lineRule="auto"/>
        <w:ind w:right="0"/>
        <w:jc w:val="center"/>
        <w:textAlignment w:val="baseline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  <w:t>目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56"/>
          <w:szCs w:val="56"/>
          <w:highlight w:val="none"/>
          <w:vertAlign w:val="baseline"/>
        </w:rPr>
        <w:t> 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第一部分 农业畜牧局概况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3569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一、主要职能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3569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二、部门预算单位构成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21" w:firstLine="640" w:firstLineChars="200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第二部分 农业畜牧局201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 年度部门预算情况说明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21" w:firstLine="640" w:firstLineChars="200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第三部分 名词解释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21" w:firstLine="640" w:firstLineChars="200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附件： 农业畜牧局201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 年度部门预算表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一、部门收支总体情况表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二、部门收入总体情况表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三、部门支出总体情况表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四、财政拨款收支总体情况表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五、一般公共预算支出情况表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六、一般公共预算基本支出情况表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七、一般公共预算“三公”经费支出情况表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八、政府性基金预算支出情况表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bidi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九、国有资本经营预算支出情况表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420"/>
        <w:jc w:val="center"/>
        <w:textAlignment w:val="baseline"/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420"/>
        <w:jc w:val="center"/>
        <w:textAlignment w:val="baseline"/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420"/>
        <w:jc w:val="center"/>
        <w:textAlignment w:val="baseline"/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420"/>
        <w:jc w:val="center"/>
        <w:textAlignment w:val="baseline"/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第一部分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农业畜牧局概况</w:t>
      </w:r>
    </w:p>
    <w:p>
      <w:pPr>
        <w:numPr>
          <w:ilvl w:val="0"/>
          <w:numId w:val="1"/>
        </w:numPr>
        <w:adjustRightInd w:val="0"/>
        <w:snapToGrid w:val="0"/>
        <w:spacing w:line="590" w:lineRule="exact"/>
        <w:ind w:firstLine="640" w:firstLineChars="200"/>
        <w:outlineLvl w:val="0"/>
        <w:rPr>
          <w:rFonts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黑体" w:hAnsi="黑体" w:eastAsia="黑体" w:cs="仿宋_GB2312"/>
          <w:sz w:val="32"/>
          <w:szCs w:val="32"/>
          <w:highlight w:val="none"/>
        </w:rPr>
        <w:t>主要职能</w:t>
      </w:r>
    </w:p>
    <w:p>
      <w:pPr>
        <w:numPr>
          <w:ilvl w:val="0"/>
          <w:numId w:val="2"/>
        </w:numPr>
        <w:adjustRightInd w:val="0"/>
        <w:snapToGrid w:val="0"/>
        <w:spacing w:line="590" w:lineRule="exact"/>
        <w:ind w:left="200" w:leftChars="0" w:firstLine="640" w:firstLineChars="0"/>
        <w:outlineLvl w:val="0"/>
        <w:rPr>
          <w:rFonts w:hint="eastAsia" w:ascii="黑体" w:hAnsi="黑体" w:eastAsia="黑体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  <w:highlight w:val="none"/>
          <w:lang w:val="en-US" w:eastAsia="zh-CN"/>
        </w:rPr>
        <w:t>机构设置情况</w:t>
      </w:r>
    </w:p>
    <w:p>
      <w:pPr>
        <w:numPr>
          <w:ilvl w:val="0"/>
          <w:numId w:val="0"/>
        </w:numPr>
        <w:adjustRightInd w:val="0"/>
        <w:snapToGrid w:val="0"/>
        <w:spacing w:line="590" w:lineRule="exact"/>
        <w:ind w:firstLine="960" w:firstLineChars="300"/>
        <w:outlineLvl w:val="0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县农业畜牧局内设机构，行政股室：办公室、计划财务股、政策法规信息股（南乐县农业产业化办公室）、农村经济体制与经营管理股、种植业管理股、科技教育股、农畜产品质量安全监管股（南乐县畜禽屠宰管理办公室）、畜牧饲料股、防疫检疫股、医政药政股。事业单位：农业技术推广中心、农业综合执法大队、植保植检站、土壤肥料工作站、农村能源环境保护管理站、种子管理站、农广校、农产品质量安全检测中心、土地流转服务中心；南乐县畜产品质量安全监测检验中心、南乐县动物疫病预防控制中心、畜牧站、饲草饲料站、畜禽改良站，南乐县动物卫生监督所，二级机构2个，分别是原种一场、原种二场。</w:t>
      </w:r>
    </w:p>
    <w:p>
      <w:pPr>
        <w:numPr>
          <w:ilvl w:val="0"/>
          <w:numId w:val="0"/>
        </w:numPr>
        <w:adjustRightInd w:val="0"/>
        <w:snapToGrid w:val="0"/>
        <w:spacing w:line="590" w:lineRule="exact"/>
        <w:outlineLvl w:val="0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（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二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）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部门职责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（一）拟定全县种植业、畜牧业、乡镇企业等有关产业和农村经济发展政策，发展战略、中期发展规划并组织实施。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（二）承担完善全县农村经营管理体制的责任。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（三）指导全县粮食等主要农产品生产，组织落实促进粮食畜禽等主要农产品生产发展的相关政策措施，引导农业产业结构调整区域布局及优质农畜产品生产基地建设。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（四）组织拟订促进农畜产品加工发展政策、规划并组织实施。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（五）承担提升全县农畜产品质量安全水平责任。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（六）组织、协调全县农业、畜牧生产资料市场体系建设。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（七）组织、监督对动植物的防疫检疫工作，发布疫情并组织扑灭。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（八）承担农业防灾减灾的责任。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（九）负责全县农业、畜牧业信息体系建设。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（十）拟定全县农业、畜牧业科技、教育、农技推广的规划、计划和有关政策并实施。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（十一）会同有关部门拟定全县农业、畜牧业人才队伍建设规划并组织实施。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（十二）组织全县农业资源区划工作。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（十三）制定并实施全县农业生态建设规划。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（十四）承担政府间农业涉外事务。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（十五）承担生鲜乳生产、收购环节的食品安全责任。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（十六）负责地方畜禽遗传资源保护和开发利用，培养和推广畜禽新品种。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（十七）负责饲草饲料资源开发及草地建设、保护和监督管理。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（十八）承担生鲜乳生产环节、收购环节的食品安全责任。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（十九）负责兽医医政、兽药药政药监、兽医卫生监督管理。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（二十）负责官方兽医、执业兽医、乡村兽医管理工作。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（二十一）负责突发重大动物疫情应急管理工作。</w:t>
      </w:r>
    </w:p>
    <w:p>
      <w:pPr>
        <w:keepNext w:val="0"/>
        <w:keepLines w:val="0"/>
        <w:pageBreakBefore w:val="0"/>
        <w:widowControl/>
        <w:wordWrap/>
        <w:topLinePunct w:val="0"/>
        <w:bidi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（二十二）承担政府间农牧业涉外事务，参与农牧业贸易谈判工作，组织开展全县农牧业贸易促进和对外经济、技术交流与合作。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二、农业畜牧局预算单位构成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00"/>
        <w:textAlignment w:val="baseline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  <w:t>县农业畜牧局内设机构，行政股室：办公室、计划财务股、政策法规信息股（南乐县农业产业化办公室）、农村经济体制与经营管理股、种植业管理股、科技教育股、农畜产品质量安全监管股（南乐县畜禽屠宰管理办公室）、畜牧饲料股、防疫检疫股、医政药政股。事业单位：农业技术推广中心、农业综合执法大队、植保植检站、土壤肥料工作站、农村能源环境保护管理站、种子管理站、农广校、农产品质量安全检测中心、土地流转服务中心；南乐县畜产品质量安全监测检验中心、南乐县动物疫病预防控制中心、畜牧站、饲草饲料站、畜禽改良站，南乐县动物卫生监督所，二级机构2个，分别是原种一场、原种二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00"/>
        <w:textAlignment w:val="baseline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  <w:t>南乐县农业畜牧局无下属二级预算单位，本级预算为汇总预算。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00"/>
        <w:textAlignment w:val="baseline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00"/>
        <w:textAlignment w:val="baseline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00"/>
        <w:textAlignment w:val="baseline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highlight w:val="none"/>
          <w:vertAlign w:val="baseline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jc w:val="center"/>
        <w:rPr>
          <w:rFonts w:hint="eastAsia" w:ascii="黑体" w:hAnsi="Times New Roman" w:eastAsia="黑体" w:cs="黑体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jc w:val="center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第二部分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jc w:val="center"/>
        <w:rPr>
          <w:rFonts w:hint="eastAsia" w:ascii="黑体" w:hAnsi="Times New Roman" w:eastAsia="黑体" w:cs="黑体"/>
          <w:sz w:val="32"/>
          <w:szCs w:val="32"/>
          <w:highlight w:val="none"/>
        </w:rPr>
      </w:pPr>
      <w:r>
        <w:rPr>
          <w:rFonts w:hint="eastAsia" w:ascii="黑体" w:hAnsi="Times New Roman" w:eastAsia="黑体" w:cs="黑体"/>
          <w:sz w:val="32"/>
          <w:szCs w:val="32"/>
          <w:highlight w:val="none"/>
        </w:rPr>
        <w:t>农业畜牧局201</w:t>
      </w:r>
      <w:r>
        <w:rPr>
          <w:rFonts w:hint="eastAsia" w:ascii="黑体" w:hAnsi="Times New Roman" w:eastAsia="黑体" w:cs="黑体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年度部门预算情况说明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2"/>
          <w:szCs w:val="32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一、收入支出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预算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总体情况说明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农业畜牧局2019年收入总计7511.89万元，支出总计7511.89万元，与2018年相比，收、支总计各减少3875.76万元，减少34.03%。主要原因：项目资金减少。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二、收入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预算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总体情况说明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农业畜牧局2019年收入合计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7511.89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万元，其中：一般公共预算3014.45万元;政府性基金25万元;部门财政性资金结转4472.44万元。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三、支出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预算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总体情况说明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农业畜牧局2019年支出合计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7594.89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万元，其中：基本支出2634.53万元，占35.07%；项目支出4860.36万元，占64.93%。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四、财政拨款收入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支出预算总体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农业畜牧局2019年一般公共预算收支预算3014.45万元，政府性基金收支预算25万元。与2018年相比，一般公共预算收支预算减少2320.73万元，减少23.7%。主要原因：项目变更，项目专项资金减少；政府性基金收支预算减少1555.03万元，减少97.37%。主要原因：项目资金减少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1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五、一般公共预算支出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预算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1"/>
        <w:textAlignment w:val="baseline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农业畜牧局2019年一般公共预算支出年初预算为7469.89万元。主要用于以下方面：社会保障和就业（类）支出386.15万元，占5.1%；卫生健康支出（类）支出67.72万元，占0.9%；农林水（类）支出6880.54万元，占92.1%；住房保障（类）支出135.49万元，占1.9%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六、一般公共预算基本支出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预算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农业畜牧局2019年一般公共预算基本支出年初预算为2634.53万元。其中：人员经费2504.75万元，主要包括：基本工资、津贴补贴、奖金、绩效工资、机关事业单位基本养老保险缴费、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职业年金缴费、医疗保险缴费、其他社会保障缴费、住房公积金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、</w:t>
      </w:r>
      <w:bookmarkStart w:id="0" w:name="_GoBack"/>
      <w:bookmarkEnd w:id="0"/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其他对个人和家庭的补助；公用经费129.78万元，主要包括：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办公费、印刷费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水费、电费、邮电费、差旅费、维修（护）费、公务接待费、公务用车运行维护费、其他交通费用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七、“三公”经费支出预算情况说明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default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我单位2019年“三公”经费预算为3万元，比2018年预算数减少12.55万元，下降8%。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具体支出情况如下：</w:t>
      </w:r>
    </w:p>
    <w:p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b/>
          <w:bCs/>
          <w:kern w:val="2"/>
          <w:sz w:val="32"/>
          <w:szCs w:val="32"/>
          <w:highlight w:val="none"/>
          <w:lang w:val="en-US" w:eastAsia="zh-CN" w:bidi="ar-SA"/>
        </w:rPr>
        <w:t>因公出国（境）费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0万元，主要用于单位工作人员公务出国（境）的住宿费、旅费、伙食补助费、杂费、培训费等支出。预算数比2018年减少0万元。</w:t>
      </w:r>
    </w:p>
    <w:p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b/>
          <w:bCs/>
          <w:kern w:val="2"/>
          <w:sz w:val="32"/>
          <w:szCs w:val="32"/>
          <w:highlight w:val="none"/>
          <w:lang w:val="en-US" w:eastAsia="zh-CN" w:bidi="ar-SA"/>
        </w:rPr>
        <w:t>公务用车购置及运行费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2万元，其中，公务用车购置费0万元；公务用车运行维护费2万元，主要用于开展工作所需公务用车的燃料费、维修费、过路过桥费、保险费、安全奖励费用等支出。比2018年减少12.5万元，较上年下降137%，主要原因：不断规范公车运行管理，严格控制支出。</w:t>
      </w:r>
    </w:p>
    <w:p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Courier New"/>
          <w:b/>
          <w:bCs/>
          <w:kern w:val="2"/>
          <w:sz w:val="32"/>
          <w:szCs w:val="32"/>
          <w:highlight w:val="none"/>
          <w:lang w:val="en-US" w:eastAsia="zh-CN" w:bidi="ar-SA"/>
        </w:rPr>
        <w:t>公务接待费</w:t>
      </w:r>
      <w:r>
        <w:rPr>
          <w:rFonts w:hint="eastAsia" w:ascii="仿宋_GB2312" w:hAnsi="宋体" w:eastAsia="仿宋_GB2312" w:cs="Courier New"/>
          <w:kern w:val="2"/>
          <w:sz w:val="32"/>
          <w:szCs w:val="32"/>
          <w:highlight w:val="none"/>
          <w:lang w:val="en-US" w:eastAsia="zh-CN" w:bidi="ar-SA"/>
        </w:rPr>
        <w:t>1万元，主要用于按规定开支的各类公务接待（含外宾接待）支出。预算数比2018年减少0.05万元。主要原因是严格执行《党政机关国内公务接待管理规定》等办法，不断规范公务接待管理，严格接待审批控制，厉行勤俭节约，不断压缩公务接待费支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八、政府性基金预算支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出预算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情况说明</w:t>
      </w:r>
    </w:p>
    <w:p>
      <w:pPr>
        <w:keepNext w:val="0"/>
        <w:keepLines w:val="0"/>
        <w:pageBreakBefore w:val="0"/>
        <w:wordWrap/>
        <w:topLinePunct w:val="0"/>
        <w:bidi w:val="0"/>
        <w:spacing w:line="360" w:lineRule="auto"/>
        <w:ind w:firstLine="640" w:firstLineChars="200"/>
        <w:rPr>
          <w:rFonts w:hint="eastAsia" w:ascii="仿宋_GB2312" w:eastAsia="仿宋_GB2312" w:cs="Times New Roman"/>
          <w:sz w:val="32"/>
          <w:szCs w:val="32"/>
          <w:highlight w:val="none"/>
        </w:rPr>
      </w:pPr>
      <w:r>
        <w:rPr>
          <w:rFonts w:hint="eastAsia" w:ascii="仿宋_GB2312" w:eastAsia="仿宋_GB2312" w:cs="Times New Roman"/>
          <w:sz w:val="32"/>
          <w:szCs w:val="32"/>
          <w:highlight w:val="none"/>
        </w:rPr>
        <w:t>我局201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 w:cs="Times New Roman"/>
          <w:sz w:val="32"/>
          <w:szCs w:val="32"/>
          <w:highlight w:val="none"/>
        </w:rPr>
        <w:t>年政府性基金预算支出年初预算为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42</w:t>
      </w:r>
      <w:r>
        <w:rPr>
          <w:rFonts w:hint="eastAsia" w:ascii="仿宋_GB2312" w:eastAsia="仿宋_GB2312" w:cs="Times New Roman"/>
          <w:sz w:val="32"/>
          <w:szCs w:val="32"/>
          <w:highlight w:val="none"/>
        </w:rPr>
        <w:t>万元。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2019年政府性基金预算</w:t>
      </w:r>
      <w:r>
        <w:rPr>
          <w:rFonts w:hint="eastAsia" w:ascii="仿宋_GB2312" w:eastAsia="仿宋_GB2312" w:cs="Times New Roman"/>
          <w:sz w:val="32"/>
          <w:szCs w:val="32"/>
          <w:highlight w:val="none"/>
        </w:rPr>
        <w:t>支出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25万元，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eastAsia="zh-CN"/>
        </w:rPr>
        <w:t>上年结转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17万元。支出</w:t>
      </w:r>
      <w:r>
        <w:rPr>
          <w:rFonts w:hint="eastAsia" w:ascii="仿宋_GB2312" w:eastAsia="仿宋_GB2312" w:cs="Times New Roman"/>
          <w:sz w:val="32"/>
          <w:szCs w:val="32"/>
          <w:highlight w:val="none"/>
        </w:rPr>
        <w:t>具体情况如下：征地补偿,地面附着物补偿。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九、国有资本经营预算支出情况说明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我局201</w:t>
      </w:r>
      <w:r>
        <w:rPr>
          <w:rFonts w:hint="eastAsia" w:asci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9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年没有国有资本经营预算拨款安排的收入和支出。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36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十、其他重要事项的情况说明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（一）机关运行经费支出情况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农业畜牧局201</w:t>
      </w:r>
      <w:r>
        <w:rPr>
          <w:rFonts w:hint="eastAsia" w:asci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9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年机关运行经费支出预算</w:t>
      </w:r>
      <w:r>
        <w:rPr>
          <w:rFonts w:hint="eastAsia" w:asci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129.78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万元，主要保障机构正常运转及正常履职需要。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年增加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69.72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万元，增长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69.72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万元，主要原因：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正常人员变动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eastAsia="zh-CN"/>
        </w:rPr>
        <w:t>及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人员经费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增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（二）政府采购支出情况说明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201</w:t>
      </w:r>
      <w:r>
        <w:rPr>
          <w:rFonts w:hint="eastAsia" w:ascii="仿宋_GB2312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9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年政府采购预算安排0万元，其中：政府采购货物预算0万元、政府采购工程预算0万元、政府采购服务预算0万元。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（三）关于预算绩效管理工作开展情况说明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jc w:val="left"/>
        <w:textAlignment w:val="baseline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  <w:lang w:val="en-US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201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年，我局共组织对3个项目进行了预算绩效评价，涉及金额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302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分别是粮改饲试点项目、新型农民职业培训项目以及农技推广服务项目，获得良好的绩效评价结果。201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年，我局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纳入预算绩效管理的支出总额为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3660万元，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分别是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农业生产发展家庭农场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农民合作社、粮食规模化生产经营主体经营提升装备、优质小麦建设、农业产业强镇示范建设、农技推广体系建设、一村一品示范村、农业植保社会化服务、培育新型农业经营主体、农业生产社会化服务、产业化集群发展、耕地保护与质量提升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其中人员经费支出0万元，公用经费支出0万元，支出项目共14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个，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支出总额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3660万元，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其中预算支出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100万元及100万元以上的项目0个，支出总额0万元。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（四）国有资产占用情况说明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 201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年期末，南乐县农业畜牧局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固定资产总额745.19万元，其中：房屋建筑物177.1万元，车辆105.46万元，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共有车辆6辆，</w:t>
      </w:r>
      <w:r>
        <w:rPr>
          <w:rFonts w:hint="eastAsia" w:ascii="仿宋" w:hAnsi="仿宋" w:eastAsia="仿宋"/>
          <w:sz w:val="32"/>
          <w:highlight w:val="none"/>
          <w:lang w:val="en-US" w:eastAsia="zh-CN"/>
        </w:rPr>
        <w:t>其他固定资产462.62万元，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其中：一般公务用车3辆、一般执法执勤用车0辆、特种专业技术用车0辆，其他用车3辆，其他用车主要是农业技术推广服务车辆；单位价值50万元以上通用设备0台（套），单位价值100万元以上专用设备0台（套）。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3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</w:rPr>
        <w:t>（五）专项转移支付项目情况说明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640"/>
        <w:jc w:val="left"/>
        <w:textAlignment w:val="baseline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我局负责管理的专项转移支付项目共有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项，主要是：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农业生产发展家庭农场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40万元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农民合作社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90万元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、粮食规模化生产经营主体经营提升装备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100万元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、优质小麦建设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400万元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、农业产业强镇示范建设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1300万元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、农技推广体系建设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97万元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、一村一品示范村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200万元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、农业植保社会化服务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344万元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、培育新型农业经营主体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60万元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、农业生产社会化服务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600万元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eastAsia="zh-CN"/>
        </w:rPr>
        <w:t>、耕地保护与质量提升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>109万元。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我局将按照《预算法》等有关规定，积极做好项目分配前期准备工作，在规定的时间内向财政部门提出资金分配意见，根据有关要求做好项目申报公开等相关工作。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topLinePunct w:val="0"/>
        <w:bidi w:val="0"/>
        <w:spacing w:before="0" w:beforeAutospacing="0" w:after="0" w:afterAutospacing="0" w:line="360" w:lineRule="auto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highlight w:val="none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第三部分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  <w:lang w:val="en-US" w:eastAsia="zh-CN"/>
        </w:rPr>
        <w:t xml:space="preserve"> 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2"/>
          <w:szCs w:val="32"/>
          <w:highlight w:val="none"/>
          <w:vertAlign w:val="baseline"/>
        </w:rPr>
        <w:t>名词解释</w:t>
      </w:r>
    </w:p>
    <w:p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财政拨款收入：是指县级财政当年拨付的资金。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、事业收入：是指事业单位开展专业活动及辅助活动所取得的收入。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、其他收入：是指部门取得的除“财政拨款”、“事业收入”、“事业单位经营收入”等以外的收入。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、基本支出：是指为保障机构正常运转、完成日常工作任务所必需的开支，其内容包括人员经费和日常公用经费两部分。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、项目支出：是指在基本支出之外，为完成特定的行政工作任务或事业发展目标所发生的支出。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“三公”经费：是指纳入县级财政预算管理，部门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  <w:highlight w:val="none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、机关运行经费：是指为保障行政事业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rPr>
          <w:rFonts w:hint="default" w:ascii="仿宋_GB2312" w:hAnsi="宋体" w:eastAsia="仿宋_GB2312" w:cs="Courier New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八、其他（专业性较强的需向社会做出说明的名词）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rPr>
          <w:rFonts w:hint="eastAsia" w:ascii="黑体" w:hAnsi="黑体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rPr>
          <w:rFonts w:hint="eastAsia" w:ascii="黑体" w:hAnsi="黑体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rPr>
          <w:rFonts w:hint="eastAsia" w:ascii="黑体" w:hAnsi="黑体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t>附件：</w:t>
      </w:r>
      <w:r>
        <w:rPr>
          <w:rFonts w:hint="eastAsia" w:ascii="黑体" w:hAnsi="黑体" w:eastAsia="黑体" w:cs="Times New Roman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ind w:firstLine="1280" w:firstLineChars="400"/>
        <w:rPr>
          <w:rFonts w:hint="eastAsia" w:ascii="黑体" w:hAnsi="黑体" w:eastAsia="黑体" w:cs="Times New Roman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sz w:val="32"/>
          <w:szCs w:val="32"/>
          <w:highlight w:val="none"/>
        </w:rPr>
        <w:fldChar w:fldCharType="begin"/>
      </w:r>
      <w:r>
        <w:rPr>
          <w:rFonts w:hint="eastAsia" w:ascii="黑体" w:hAnsi="黑体" w:eastAsia="黑体" w:cs="Times New Roman"/>
          <w:sz w:val="32"/>
          <w:szCs w:val="32"/>
          <w:highlight w:val="none"/>
        </w:rPr>
        <w:instrText xml:space="preserve"> HYPERLINK "http://open.nanle.gov.cn/attached/file/20181101/20181101095436_537.xls" \t "http://www.nanle.gov.cn/2018/1101/_blank" </w:instrText>
      </w:r>
      <w:r>
        <w:rPr>
          <w:rFonts w:hint="eastAsia" w:ascii="黑体" w:hAnsi="黑体" w:eastAsia="黑体" w:cs="Times New Roman"/>
          <w:sz w:val="32"/>
          <w:szCs w:val="32"/>
          <w:highlight w:val="none"/>
        </w:rPr>
        <w:fldChar w:fldCharType="separate"/>
      </w:r>
      <w:r>
        <w:rPr>
          <w:rFonts w:hint="eastAsia" w:ascii="黑体" w:hAnsi="黑体" w:eastAsia="黑体" w:cs="Times New Roman"/>
          <w:sz w:val="32"/>
          <w:szCs w:val="32"/>
          <w:highlight w:val="none"/>
        </w:rPr>
        <w:t>南乐县农业畜牧局201</w:t>
      </w:r>
      <w:r>
        <w:rPr>
          <w:rFonts w:hint="eastAsia" w:ascii="黑体" w:hAnsi="黑体" w:eastAsia="黑体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黑体" w:hAnsi="黑体" w:eastAsia="黑体" w:cs="Times New Roman"/>
          <w:sz w:val="32"/>
          <w:szCs w:val="32"/>
          <w:highlight w:val="none"/>
        </w:rPr>
        <w:t>年度部门预算表</w:t>
      </w:r>
      <w:r>
        <w:rPr>
          <w:rFonts w:hint="eastAsia" w:ascii="黑体" w:hAnsi="黑体" w:eastAsia="黑体" w:cs="Times New Roman"/>
          <w:sz w:val="32"/>
          <w:szCs w:val="32"/>
          <w:highlight w:val="none"/>
        </w:rPr>
        <w:fldChar w:fldCharType="end"/>
      </w:r>
    </w:p>
    <w:p>
      <w:pPr>
        <w:keepNext w:val="0"/>
        <w:keepLines w:val="0"/>
        <w:pageBreakBefore w:val="0"/>
        <w:wordWrap/>
        <w:topLinePunct w:val="0"/>
        <w:bidi w:val="0"/>
        <w:adjustRightInd w:val="0"/>
        <w:snapToGrid w:val="0"/>
        <w:spacing w:line="360" w:lineRule="auto"/>
        <w:rPr>
          <w:rFonts w:hint="eastAsia" w:ascii="黑体" w:hAnsi="黑体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360" w:lineRule="auto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8062C"/>
    <w:multiLevelType w:val="singleLevel"/>
    <w:tmpl w:val="D248062C"/>
    <w:lvl w:ilvl="0" w:tentative="0">
      <w:start w:val="1"/>
      <w:numFmt w:val="chineseCounting"/>
      <w:suff w:val="nothing"/>
      <w:lvlText w:val="（%1）"/>
      <w:lvlJc w:val="left"/>
      <w:rPr>
        <w:rFonts w:hint="eastAsia"/>
        <w:b/>
        <w:bCs/>
      </w:rPr>
    </w:lvl>
  </w:abstractNum>
  <w:abstractNum w:abstractNumId="1">
    <w:nsid w:val="11DE44E5"/>
    <w:multiLevelType w:val="singleLevel"/>
    <w:tmpl w:val="11DE44E5"/>
    <w:lvl w:ilvl="0" w:tentative="0">
      <w:start w:val="1"/>
      <w:numFmt w:val="chineseCounting"/>
      <w:suff w:val="nothing"/>
      <w:lvlText w:val="（%1）"/>
      <w:lvlJc w:val="left"/>
      <w:pPr>
        <w:ind w:left="200"/>
      </w:pPr>
      <w:rPr>
        <w:rFonts w:hint="eastAsia"/>
      </w:rPr>
    </w:lvl>
  </w:abstractNum>
  <w:abstractNum w:abstractNumId="2">
    <w:nsid w:val="228B3E27"/>
    <w:multiLevelType w:val="singleLevel"/>
    <w:tmpl w:val="228B3E2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A796DEC"/>
    <w:multiLevelType w:val="singleLevel"/>
    <w:tmpl w:val="5A796DE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2114A5"/>
    <w:rsid w:val="01327DB1"/>
    <w:rsid w:val="095C26B8"/>
    <w:rsid w:val="0F1A6EB8"/>
    <w:rsid w:val="24452C80"/>
    <w:rsid w:val="27212755"/>
    <w:rsid w:val="31BE02AF"/>
    <w:rsid w:val="323018C0"/>
    <w:rsid w:val="3CDB0EAF"/>
    <w:rsid w:val="485478EE"/>
    <w:rsid w:val="4E331BD4"/>
    <w:rsid w:val="4FCD29BB"/>
    <w:rsid w:val="52F24739"/>
    <w:rsid w:val="593C0073"/>
    <w:rsid w:val="662114A5"/>
    <w:rsid w:val="693B2641"/>
    <w:rsid w:val="69CB29AD"/>
    <w:rsid w:val="71020384"/>
    <w:rsid w:val="75B120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2019-04-09T03:00:00Z</dcterms:created>
  <dc:creator>　</dc:creator>
  <cp:lastModifiedBy>跳跳糖</cp:lastModifiedBy>
  <dcterms:modified xsi:type="dcterms:W3CDTF">2021-06-10T09:21:56Z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10867982DAF64E34A2AB25DCA231297A</vt:lpwstr>
  </property>
</Properties>
</file>