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宋体" w:eastAsia="黑体" w:cs="宋体"/>
          <w:kern w:val="0"/>
          <w:sz w:val="28"/>
          <w:szCs w:val="28"/>
        </w:rPr>
      </w:pPr>
    </w:p>
    <w:p>
      <w:pPr>
        <w:jc w:val="center"/>
        <w:rPr>
          <w:rFonts w:ascii="黑体" w:hAnsi="黑体" w:eastAsia="黑体" w:cs="黑体"/>
          <w:sz w:val="52"/>
          <w:szCs w:val="52"/>
        </w:rPr>
      </w:pPr>
      <w:r>
        <w:rPr>
          <w:rFonts w:hint="eastAsia" w:ascii="黑体" w:hAnsi="黑体" w:eastAsia="黑体" w:cs="黑体"/>
          <w:sz w:val="52"/>
          <w:szCs w:val="52"/>
        </w:rPr>
        <w:t>南乐县环境保护局</w:t>
      </w:r>
    </w:p>
    <w:p>
      <w:pPr>
        <w:jc w:val="center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z w:val="52"/>
          <w:szCs w:val="52"/>
        </w:rPr>
        <w:t>2019</w:t>
      </w:r>
      <w:r>
        <w:rPr>
          <w:rFonts w:hint="eastAsia" w:ascii="黑体" w:hAnsi="黑体" w:eastAsia="黑体" w:cs="黑体"/>
          <w:sz w:val="52"/>
          <w:szCs w:val="52"/>
        </w:rPr>
        <w:t>年度部门</w:t>
      </w:r>
      <w:r>
        <w:rPr>
          <w:rFonts w:hint="eastAsia" w:ascii="黑体" w:hAnsi="黑体" w:eastAsia="黑体" w:cs="黑体"/>
          <w:sz w:val="52"/>
          <w:szCs w:val="52"/>
          <w:lang w:eastAsia="zh-CN"/>
        </w:rPr>
        <w:t>汇总</w:t>
      </w:r>
      <w:r>
        <w:rPr>
          <w:rFonts w:hint="eastAsia" w:ascii="黑体" w:hAnsi="黑体" w:eastAsia="黑体" w:cs="黑体"/>
          <w:sz w:val="52"/>
          <w:szCs w:val="52"/>
        </w:rPr>
        <w:t>预算</w:t>
      </w: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C00000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52"/>
          <w:szCs w:val="52"/>
        </w:rPr>
      </w:pPr>
    </w:p>
    <w:p>
      <w:pPr>
        <w:rPr>
          <w:rFonts w:ascii="黑体" w:hAnsi="黑体" w:eastAsia="黑体" w:cs="黑体"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Arial" w:hAnsi="Arial" w:eastAsia="方正小标宋简体" w:cs="Arial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2019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Arial" w:hAnsi="Arial" w:eastAsia="方正小标宋简体" w:cs="Arial"/>
          <w:sz w:val="44"/>
          <w:szCs w:val="44"/>
          <w:lang w:val="en-US" w:eastAsia="zh-CN"/>
        </w:rPr>
        <w:t>4</w:t>
      </w:r>
      <w:r>
        <w:rPr>
          <w:rFonts w:hint="eastAsia" w:ascii="Arial" w:hAnsi="Arial" w:eastAsia="方正小标宋简体" w:cs="Arial"/>
          <w:sz w:val="44"/>
          <w:szCs w:val="44"/>
        </w:rPr>
        <w:t>月</w:t>
      </w:r>
      <w:r>
        <w:rPr>
          <w:rFonts w:hint="eastAsia" w:ascii="Arial" w:hAnsi="Arial" w:eastAsia="方正小标宋简体" w:cs="Arial"/>
          <w:sz w:val="44"/>
          <w:szCs w:val="44"/>
          <w:lang w:val="en-US" w:eastAsia="zh-CN"/>
        </w:rPr>
        <w:t>4</w:t>
      </w:r>
      <w:r>
        <w:rPr>
          <w:rFonts w:hint="eastAsia" w:ascii="Arial" w:hAnsi="Arial" w:eastAsia="方正小标宋简体" w:cs="Arial"/>
          <w:sz w:val="44"/>
          <w:szCs w:val="44"/>
        </w:rPr>
        <w:t>日</w:t>
      </w:r>
    </w:p>
    <w:p>
      <w:pPr>
        <w:widowControl/>
        <w:spacing w:line="405" w:lineRule="atLeast"/>
        <w:ind w:left="-142" w:right="51" w:firstLine="39"/>
        <w:jc w:val="center"/>
        <w:textAlignment w:val="baseline"/>
        <w:rPr>
          <w:rFonts w:hint="eastAsia" w:ascii="黑体" w:hAnsi="宋体" w:eastAsia="黑体" w:cs="黑体"/>
          <w:color w:val="333333"/>
          <w:kern w:val="0"/>
          <w:sz w:val="56"/>
          <w:szCs w:val="56"/>
        </w:rPr>
      </w:pPr>
    </w:p>
    <w:p>
      <w:pPr>
        <w:widowControl/>
        <w:spacing w:line="405" w:lineRule="atLeast"/>
        <w:ind w:left="-142" w:right="51" w:firstLine="39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56"/>
          <w:szCs w:val="56"/>
        </w:rPr>
        <w:t>目</w:t>
      </w:r>
      <w:r>
        <w:rPr>
          <w:rFonts w:ascii="黑体" w:hAnsi="宋体" w:eastAsia="黑体" w:cs="黑体"/>
          <w:color w:val="333333"/>
          <w:spacing w:val="2"/>
          <w:kern w:val="0"/>
          <w:sz w:val="56"/>
          <w:szCs w:val="56"/>
        </w:rPr>
        <w:t> </w:t>
      </w:r>
      <w:r>
        <w:rPr>
          <w:rFonts w:hint="eastAsia" w:ascii="黑体" w:hAnsi="宋体" w:eastAsia="黑体" w:cs="黑体"/>
          <w:color w:val="333333"/>
          <w:kern w:val="0"/>
          <w:sz w:val="56"/>
          <w:szCs w:val="56"/>
        </w:rPr>
        <w:t>录</w:t>
      </w:r>
    </w:p>
    <w:p>
      <w:pPr>
        <w:widowControl/>
        <w:spacing w:after="225" w:line="405" w:lineRule="atLeast"/>
        <w:ind w:right="3569"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第一部分</w:t>
      </w:r>
      <w:r>
        <w:rPr>
          <w:rFonts w:ascii="黑体" w:hAnsi="宋体" w:eastAsia="黑体" w:cs="黑体"/>
          <w:color w:val="333333"/>
          <w:kern w:val="0"/>
          <w:sz w:val="32"/>
          <w:szCs w:val="32"/>
        </w:rPr>
        <w:t xml:space="preserve"> 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南乐县环境保护局概况</w:t>
      </w:r>
    </w:p>
    <w:p>
      <w:pPr>
        <w:widowControl/>
        <w:spacing w:after="225" w:line="405" w:lineRule="atLeast"/>
        <w:ind w:right="3569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一、主要职能</w:t>
      </w:r>
    </w:p>
    <w:p>
      <w:pPr>
        <w:widowControl/>
        <w:spacing w:after="225" w:line="405" w:lineRule="atLeast"/>
        <w:ind w:right="3569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二、部门预算单位构成</w:t>
      </w:r>
    </w:p>
    <w:p>
      <w:pPr>
        <w:widowControl/>
        <w:spacing w:after="225" w:line="405" w:lineRule="atLeast"/>
        <w:ind w:right="521"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第二部分南乐县环境保护</w:t>
      </w:r>
      <w:r>
        <w:rPr>
          <w:rFonts w:ascii="黑体" w:hAnsi="宋体" w:eastAsia="黑体" w:cs="黑体"/>
          <w:color w:val="333333"/>
          <w:spacing w:val="-119"/>
          <w:kern w:val="0"/>
          <w:sz w:val="32"/>
          <w:szCs w:val="32"/>
        </w:rPr>
        <w:t> </w:t>
      </w:r>
      <w:r>
        <w:rPr>
          <w:rFonts w:ascii="黑体" w:hAnsi="宋体" w:eastAsia="黑体" w:cs="黑体"/>
          <w:color w:val="333333"/>
          <w:kern w:val="0"/>
          <w:sz w:val="32"/>
          <w:szCs w:val="32"/>
        </w:rPr>
        <w:t>2019</w:t>
      </w:r>
      <w:r>
        <w:rPr>
          <w:rFonts w:ascii="黑体" w:hAnsi="宋体" w:eastAsia="黑体" w:cs="黑体"/>
          <w:color w:val="333333"/>
          <w:spacing w:val="-119"/>
          <w:kern w:val="0"/>
          <w:sz w:val="32"/>
          <w:szCs w:val="32"/>
        </w:rPr>
        <w:t> 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年度部门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  <w:lang w:eastAsia="zh-CN"/>
        </w:rPr>
        <w:t>汇总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预算情况说明</w:t>
      </w:r>
    </w:p>
    <w:p>
      <w:pPr>
        <w:widowControl/>
        <w:spacing w:after="225" w:line="405" w:lineRule="atLeast"/>
        <w:ind w:right="521"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第三部分</w:t>
      </w:r>
      <w:r>
        <w:rPr>
          <w:rFonts w:ascii="黑体" w:hAnsi="宋体" w:eastAsia="黑体" w:cs="黑体"/>
          <w:color w:val="333333"/>
          <w:spacing w:val="-32"/>
          <w:kern w:val="0"/>
          <w:sz w:val="32"/>
          <w:szCs w:val="32"/>
        </w:rPr>
        <w:t> 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名词解释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附件：南乐县环境保护</w:t>
      </w:r>
      <w:r>
        <w:rPr>
          <w:rFonts w:ascii="黑体" w:hAnsi="宋体" w:eastAsia="黑体" w:cs="黑体"/>
          <w:color w:val="333333"/>
          <w:kern w:val="0"/>
          <w:sz w:val="32"/>
          <w:szCs w:val="32"/>
        </w:rPr>
        <w:t>2019</w:t>
      </w:r>
      <w:r>
        <w:rPr>
          <w:rFonts w:ascii="黑体" w:hAnsi="宋体" w:eastAsia="黑体" w:cs="黑体"/>
          <w:color w:val="333333"/>
          <w:spacing w:val="-116"/>
          <w:kern w:val="0"/>
          <w:sz w:val="32"/>
          <w:szCs w:val="32"/>
        </w:rPr>
        <w:t> 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年度部门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  <w:lang w:eastAsia="zh-CN"/>
        </w:rPr>
        <w:t>汇总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预算表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一、部门收支总体情况表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二、部门收入总体情况表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三、部门支出总体情况表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四、财政拨款收支总体情况表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五、一般公共预算支出情况表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六、一般公共预算基本支出情况表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七、一般公共预算“三公”经费支出情况表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八、政府性基金预算支出情况表</w:t>
      </w:r>
    </w:p>
    <w:p>
      <w:pPr>
        <w:widowControl/>
        <w:spacing w:after="225" w:line="405" w:lineRule="atLeast"/>
        <w:ind w:right="51" w:firstLine="96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九、国有资本经营预算支出情况表</w:t>
      </w:r>
    </w:p>
    <w:p>
      <w:pPr>
        <w:widowControl/>
        <w:spacing w:after="225" w:line="405" w:lineRule="atLeast"/>
        <w:ind w:firstLine="640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黑体" w:hAnsi="宋体" w:eastAsia="黑体" w:cs="黑体"/>
          <w:color w:val="333333"/>
          <w:kern w:val="0"/>
          <w:sz w:val="32"/>
          <w:szCs w:val="32"/>
        </w:rPr>
        <w:t> </w:t>
      </w:r>
    </w:p>
    <w:p>
      <w:pPr>
        <w:widowControl/>
        <w:spacing w:after="225" w:line="405" w:lineRule="atLeast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第一部分</w:t>
      </w:r>
    </w:p>
    <w:p>
      <w:pPr>
        <w:widowControl/>
        <w:spacing w:after="225" w:line="405" w:lineRule="atLeast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南乐县环境保护局概况</w:t>
      </w:r>
    </w:p>
    <w:p>
      <w:pPr>
        <w:widowControl/>
        <w:spacing w:after="225" w:line="405" w:lineRule="atLeast"/>
        <w:ind w:firstLine="640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黑体" w:hAnsi="宋体" w:eastAsia="黑体" w:cs="黑体"/>
          <w:color w:val="333333"/>
          <w:kern w:val="0"/>
          <w:sz w:val="32"/>
          <w:szCs w:val="32"/>
        </w:rPr>
        <w:t> 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一、南乐县环境保护局主要职责</w:t>
      </w:r>
    </w:p>
    <w:p>
      <w:pPr>
        <w:kinsoku w:val="0"/>
        <w:overflowPunct w:val="0"/>
        <w:adjustRightInd w:val="0"/>
        <w:snapToGrid w:val="0"/>
        <w:spacing w:line="590" w:lineRule="exact"/>
        <w:ind w:right="3569" w:firstLine="640" w:firstLineChars="200"/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（一）机构设置情况</w:t>
      </w:r>
    </w:p>
    <w:p>
      <w:pPr>
        <w:pStyle w:val="4"/>
        <w:widowControl/>
        <w:spacing w:beforeAutospacing="0" w:after="225" w:afterAutospacing="0" w:line="448" w:lineRule="atLeast"/>
        <w:ind w:firstLine="64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行政股室四个。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办公室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政策法规宣教股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环境影响评价股（总量股）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污染防治股（自然生态保护股）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下属事业单位四个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南乐县环境监察大队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南乐县环境监测站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南乐县环境监控中心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南乐县产业集聚区环保监管所</w:t>
      </w:r>
    </w:p>
    <w:p>
      <w:pPr>
        <w:widowControl/>
        <w:spacing w:after="225" w:line="54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after="225" w:line="54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部门职责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贯彻执行国家、省、市环境保护的法律、法规和方针、政策，拟订并组织实施全县环境保护规划。起草环境保护地方规范性文件。组织编制全县环境功能区划，组织拟订并监督实施重点区域、流域污染防治规划和饮用水水源地环境保护规划，参与制定全县主体功能区划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全县重大环境问题的统筹协调和监督管理。牵头协调突发环境污染事故和生态破坏事件的调查处理，指导协调乡镇政府突发环境事件的应急、预警工作，协调解决有关跨区域环境污染纠纷，统筹协调重点流域、区域污染防治工作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承担落实市、县政府减排目标的责任。组织实施主要污染物排放总量控制制度、主要污染物排放总量预算制度、主要污染物排污权有偿使用和交易制度、排污许可证制度。根据实施总量控制的污染物名称和控制指标，督查、督办、核查各乡镇污染物减排任务完成情况，负责环境保护责任目标、总量减排考核并公布考核结果，负责环境统计和污染源普查工作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提出环境保护领域固定资产投资规模和方向、县财政性资金安排意见，按县政府规定权限，核准县规划内及年度计划规模内固定资产投资项目，并配合有关部门做好组织实施和监督工作。参与指导和推动循环经济和环保产业发展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承担从源头上预防、控制环境污染和环境破坏的责任。受县政府委托对县重大经济和技术政策、发展规划及重大经济开发计划进行环境影响评价，对涉及环境保护的规范性文件提出有关环境影响方面的建议，按照国家、省、市、县规定审批重大开发建设区域、项目环境影响评价文件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全县环境污染防治的监督管理。制定水体、大气、土壤、噪声、光、恶臭、固体废物、化学品、机动车等污染防治管理制度并组织实施，会同有关部门监督管理饮用水水源地环境保护工作，组织指导城镇和农村环境综合整治工作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指导、协调、监督全县生态保护工作。拟订生态保护规划，组织评估生态环境质量状况，监督对生态环境有影响的自然资源开发利用活动、重要生态环境建设和生态破坏恢复工作。指导、协调、监督全县自然保护区、森林公园环境保护工作，协调和监督野生动植物保护、湿地环境保护、荒漠化防治等工作。协调、指导农村生态环境保护，监督生物技术环境安全，牵头生物物种（含遗传资源）工作，组织协调生物多样性保护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全县核安全和辐射安全的监督管理。实施国家有关政策、规划、标准，参与核事故应急处理,负责辐射环境事故应急处理工作。监督管理核设施安全、放射源安全,监督管理核设施、核技术利用、电磁辐射、伴有放射性矿产资源开发利用中的污染防治。对核材料的管制和民用核安全设备的设计、制造、安装和无损检验活动实施监督管理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环境监测和信息发布。执行国家环境监测制度和规范，组织实施环境质量监测和污染源监督性监测。组织对环境质量状况进行调查评估、预测预警，组织建设和管理县环境监测网和全县环境信息网，建立和实行环境质量公告制度，统一发布全县环境质量报告和重大环境信息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开展环境保护科技工作，组织环境保护科学研究和技术工程示范，推动环境技术管理体系建设。参与组织协调全县有关环境保护对外交流与合作事务。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组织、指导和协调环境保护宣传教育工作，制定并组织实施全县环境保护宣传教育纲要，开展生态文明建设和环境友好型社会建设的有关宣传教育工作，推动社会公众和社会组织参与环境保护。</w:t>
      </w:r>
    </w:p>
    <w:p>
      <w:pPr>
        <w:pStyle w:val="4"/>
        <w:widowControl/>
        <w:spacing w:beforeAutospacing="0" w:after="225" w:afterAutospacing="0" w:line="448" w:lineRule="atLeast"/>
        <w:ind w:firstLine="472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承办县政府交办的其他事项。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二、南乐县环境保护局预算单位构成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121" w:right="118" w:firstLine="36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Courier New"/>
          <w:kern w:val="0"/>
          <w:sz w:val="32"/>
          <w:szCs w:val="32"/>
          <w:lang w:val="en-US" w:eastAsia="zh-CN"/>
        </w:rPr>
        <w:t>南乐县环境保护局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</w:rPr>
        <w:t>部门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预算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</w:rPr>
        <w:t>包括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局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</w:rPr>
        <w:t>机关本级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</w:rPr>
        <w:t>预算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</w:rPr>
        <w:t>和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  <w:lang w:val="en-US" w:eastAsia="zh-CN"/>
        </w:rPr>
        <w:t>局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</w:rPr>
        <w:t>属</w:t>
      </w:r>
      <w:r>
        <w:rPr>
          <w:rFonts w:hint="eastAsia" w:ascii="仿宋_GB2312" w:hAnsi="Times New Roman" w:eastAsia="仿宋_GB2312" w:cs="仿宋_GB2312"/>
          <w:spacing w:val="2"/>
          <w:kern w:val="0"/>
          <w:sz w:val="32"/>
          <w:szCs w:val="32"/>
          <w:lang w:val="en-US" w:eastAsia="zh-CN"/>
        </w:rPr>
        <w:t>单位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</w:rPr>
        <w:t>预算。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南乐县环境监察大队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南乐县环境监测站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南乐县环境监控中心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南乐县产业集聚区环保监管所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pacing w:after="225" w:line="405" w:lineRule="atLeast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第二部分</w:t>
      </w:r>
    </w:p>
    <w:p>
      <w:pPr>
        <w:widowControl/>
        <w:spacing w:after="225" w:line="405" w:lineRule="atLeast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南乐县环境保护局</w:t>
      </w:r>
      <w:r>
        <w:rPr>
          <w:rFonts w:ascii="黑体" w:hAnsi="宋体" w:eastAsia="黑体" w:cs="黑体"/>
          <w:color w:val="333333"/>
          <w:kern w:val="0"/>
          <w:sz w:val="32"/>
          <w:szCs w:val="32"/>
        </w:rPr>
        <w:t>2019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年度部门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  <w:lang w:eastAsia="zh-CN"/>
        </w:rPr>
        <w:t>汇总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预算情况说明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一、收入支出预算总体情况说明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年收入总计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1078.8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万元，支出总计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1078.8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万元，与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年相比，收、支总计各减少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259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万元，下降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19%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。主要原因：厉行节约，减少开支。</w:t>
      </w:r>
    </w:p>
    <w:p>
      <w:pPr>
        <w:widowControl/>
        <w:numPr>
          <w:ilvl w:val="0"/>
          <w:numId w:val="1"/>
        </w:numPr>
        <w:spacing w:after="225" w:line="560" w:lineRule="atLeast"/>
        <w:ind w:firstLine="640"/>
        <w:jc w:val="left"/>
        <w:textAlignment w:val="baseline"/>
        <w:rPr>
          <w:rFonts w:hint="eastAsia" w:ascii="黑体" w:hAnsi="宋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收入预算总体情况说明</w:t>
      </w:r>
    </w:p>
    <w:p>
      <w:pPr>
        <w:widowControl/>
        <w:numPr>
          <w:ilvl w:val="0"/>
          <w:numId w:val="0"/>
        </w:numPr>
        <w:spacing w:after="225" w:line="560" w:lineRule="atLeas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年收入合计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1078.8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万元，其中：一般公共预算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878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; 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政府性基金收入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170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万元；上年结转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30.8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三、支出预算总体情况说明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年支出合计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1078.8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万元，其中：基本支出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664.9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61%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；项目支出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413.9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39%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四、财政拨款收入支出预算总体情况说明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年一般公共预算收支预算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878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万元，政府性基金收支预算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170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万元。与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 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年相比，一般公共预算收支预算减少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万元，下降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17%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，主要原因：厉行节约，减少开支；政府性基金收支预算减少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181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万元，下降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51%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，主要原因：本年未开展该项目。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五、一般公共预算支出预算情况说明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年一般公共预算支出年初预算为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908.8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万元。主要用于以下方面：社会保障和就业支出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70.9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7%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；医疗卫生与计划生育支出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17.8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；节能环保支出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782.3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86%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；住房保障支出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37.6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4%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六、一般公共预算基本支出情况说明</w:t>
      </w:r>
    </w:p>
    <w:p>
      <w:pPr>
        <w:widowControl/>
        <w:spacing w:after="225" w:line="600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年一般公共预算支出年初预算为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664.9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万元。其中：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人员经费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616.4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万元，主要包括：基本工资、津贴补贴、奖金、绩效工资、机关事业单位基本养老保险缴费、医疗保险缴费、其他社会保障缴费；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公用经费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48.5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万元，主要包括：办公费、其他交通费用等。</w:t>
      </w:r>
    </w:p>
    <w:p>
      <w:pPr>
        <w:spacing w:line="590" w:lineRule="exact"/>
        <w:ind w:firstLine="640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七、政府性基金预算支出预算情况说明</w:t>
      </w:r>
    </w:p>
    <w:p>
      <w:pPr>
        <w:spacing w:line="590" w:lineRule="exact"/>
        <w:ind w:firstLine="640" w:firstLineChars="200"/>
        <w:outlineLvl w:val="0"/>
        <w:rPr>
          <w:rFonts w:ascii="黑体" w:hAnsi="黑体" w:eastAsia="黑体" w:cs="仿宋_GB2312"/>
          <w:sz w:val="32"/>
          <w:szCs w:val="32"/>
          <w:highlight w:val="none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南乐县环保局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2019年政府性基金预算支出170万元。其中，100万元用于机动车尾气监测，70万元用于第二次污染源普查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bookmarkEnd w:id="0"/>
    <w:p>
      <w:pPr>
        <w:widowControl/>
        <w:spacing w:after="225" w:line="560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八、“三公”经费支出预算情况说明</w:t>
      </w:r>
    </w:p>
    <w:p>
      <w:pPr>
        <w:widowControl/>
        <w:spacing w:after="225" w:line="560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年“三公”经费预算为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7.59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年“三公”经费支出预算数比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 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1.54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/>
        </w:rPr>
        <w:t>1.31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主要原因：环保检查督查力度加大。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具体支出情况如下：</w:t>
      </w:r>
    </w:p>
    <w:p>
      <w:pPr>
        <w:widowControl/>
        <w:spacing w:after="225" w:line="405" w:lineRule="atLeast"/>
        <w:ind w:firstLine="638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（一）因公出国（境）费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万元，主要用于单位工作人员公务出国（境）的住宿费、旅费、伙食补助费、杂费、培训费等支出。预算数比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 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年增加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万元，增长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after="225" w:line="405" w:lineRule="atLeast"/>
        <w:ind w:firstLine="638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（二）公务用车购置及运行费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万元，其中，公务用车购置费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比</w:t>
      </w:r>
      <w:r>
        <w:rPr>
          <w:rFonts w:ascii="仿宋_GB2312" w:hAnsi="仿宋_GB2312" w:eastAsia="仿宋_GB2312" w:cs="仿宋_GB2312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年减少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万元，较上年下降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0%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；公务用车运行维护费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7.4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万元，主要用于开展工作所需公务用车的燃料费、维修费、过路过桥费、保险费、安全奖励费用等支出。公务用车运行维护费预算数比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 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年减少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1.7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万元，下降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。主要原因：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认真贯彻落实中央八项规定精神，坚持厉行勤俭节约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widowControl/>
        <w:spacing w:after="225" w:line="405" w:lineRule="atLeast"/>
        <w:ind w:firstLine="638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（三）公务接待费</w:t>
      </w:r>
      <w:r>
        <w:rPr>
          <w:rFonts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</w:rPr>
        <w:t>0.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万元，主要用于按规定开支的各类公务接待（含外宾接待）支出。预算数比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 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年增加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0.1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万元，增加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100%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。主要原因：环保检查督查力度加大。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36" w:firstLineChars="200"/>
        <w:outlineLvl w:val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pacing w:val="-1"/>
          <w:kern w:val="0"/>
          <w:sz w:val="32"/>
          <w:szCs w:val="32"/>
        </w:rPr>
        <w:t>九、其他重要事项的情况说明</w:t>
      </w:r>
    </w:p>
    <w:p>
      <w:pPr>
        <w:widowControl/>
        <w:spacing w:after="225" w:line="405" w:lineRule="atLeast"/>
        <w:ind w:firstLine="643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（一）机关运行经费支出情况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南乐县环境保护局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年机关运行经费支出预算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129.6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万元，主要保障机构正常运转及正常履职需要。较上年增加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101.1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万元，增长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354.7%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，主要原因：本年开展污染源普查工作。</w:t>
      </w:r>
    </w:p>
    <w:p>
      <w:pPr>
        <w:widowControl/>
        <w:spacing w:after="225" w:line="405" w:lineRule="atLeast"/>
        <w:ind w:firstLine="643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（二）政府采购支出情况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年政府采购预算安排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万元，其中：政府采购货物预算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万元、政府采购工程预算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万元、政府采购服务预算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</w:t>
      </w:r>
    </w:p>
    <w:p>
      <w:pPr>
        <w:widowControl/>
        <w:spacing w:after="225" w:line="405" w:lineRule="atLeast"/>
        <w:ind w:firstLine="643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（三）关于预算绩效管理工作开展情况说明</w:t>
      </w:r>
    </w:p>
    <w:p>
      <w:pPr>
        <w:widowControl/>
        <w:spacing w:after="225" w:line="405" w:lineRule="atLeast"/>
        <w:ind w:firstLine="80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年,我部门对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个项目进行了预算绩效评价，涉及资金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年，我部门纳入预算绩效管理的支出总额为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万元，其中人员经费支出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万元，公用经费支出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万元，支出项目共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个，支出总额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万元，其中预算支出100万元及100万元以上项目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个，支出总额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spacing w:after="225" w:line="405" w:lineRule="atLeast"/>
        <w:ind w:firstLine="643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b/>
          <w:bCs/>
          <w:color w:val="333333"/>
          <w:kern w:val="0"/>
          <w:sz w:val="32"/>
          <w:szCs w:val="32"/>
        </w:rPr>
        <w:t>（四）国有资产占用情况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仿宋_GB2312" w:hAnsi="仿宋_GB2312" w:eastAsia="仿宋_GB2312" w:cs="仿宋_GB2312"/>
          <w:color w:val="333333"/>
          <w:sz w:val="27"/>
          <w:szCs w:val="27"/>
        </w:rPr>
      </w:pP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年期末，我局固定资产总额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22.87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万元，其中，房屋建筑物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1.42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万元，车辆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21.45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万元。我局共有车辆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辆，其中：一般公务用车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辆、一般执法执勤用车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辆、特种专业技术用车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辆，其他用车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辆；单价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50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万元以上通用设备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台（套），单位价值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100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万元以上专用设备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台（套）。</w:t>
      </w:r>
    </w:p>
    <w:p>
      <w:pPr>
        <w:widowControl/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（五）关于预算部门构成说明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年我单位按照市财政预算公开要求，将所属预算单位全部纳入预算公开范围。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</w:p>
    <w:p>
      <w:pPr>
        <w:widowControl/>
        <w:spacing w:after="225" w:line="405" w:lineRule="atLeast"/>
        <w:ind w:firstLine="640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第三部分</w:t>
      </w:r>
    </w:p>
    <w:p>
      <w:pPr>
        <w:widowControl/>
        <w:spacing w:after="225" w:line="405" w:lineRule="atLeast"/>
        <w:jc w:val="center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名词解释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一、财政拨款收入：是指县级财政当年拨付的资金。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二、事业收入：是指事业单位开展专业活动及辅助活动所取得的收入。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三、其他收入：是指部门取得的除“财政拨款”、“事业收入”、“事业单位经营收入”等以外的收入。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四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 支差额的基金）弥补当年收支缺口的资金。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五、基本支出：是指为保障机构正常运转、完成日常工作任务所必需的开支，其内容包括人员经费和日常公用经费两部分。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六、项目支出：是指在基本支出之外，为完成特定的行政工作任务或事业发展目标所发生的支出。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七、“三公”经费：是指纳入县级财政预算管理，部门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>
      <w:pPr>
        <w:widowControl/>
        <w:spacing w:after="225" w:line="405" w:lineRule="atLeast"/>
        <w:ind w:firstLine="640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??_GB2312" w:hAnsi="微软雅黑" w:eastAsia="Times New Roman" w:cs="??_GB2312"/>
          <w:color w:val="333333"/>
          <w:kern w:val="0"/>
          <w:sz w:val="32"/>
          <w:szCs w:val="32"/>
        </w:rPr>
        <w:t>八、机关运行经费：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>
      <w:pPr>
        <w:widowControl/>
        <w:spacing w:after="225" w:line="405" w:lineRule="atLeast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ascii="黑体" w:hAnsi="宋体" w:eastAsia="黑体" w:cs="黑体"/>
          <w:color w:val="333333"/>
          <w:kern w:val="0"/>
          <w:sz w:val="32"/>
          <w:szCs w:val="32"/>
        </w:rPr>
        <w:t> </w:t>
      </w:r>
    </w:p>
    <w:p>
      <w:pPr>
        <w:widowControl/>
        <w:spacing w:after="225" w:line="405" w:lineRule="atLeast"/>
        <w:jc w:val="left"/>
        <w:textAlignment w:val="baseline"/>
        <w:rPr>
          <w:rFonts w:ascii="微软雅黑" w:hAnsi="微软雅黑" w:eastAsia="微软雅黑" w:cs="微软雅黑"/>
          <w:color w:val="333333"/>
          <w:sz w:val="27"/>
          <w:szCs w:val="27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附件：</w:t>
      </w:r>
    </w:p>
    <w:p>
      <w:pPr>
        <w:widowControl/>
        <w:spacing w:after="225" w:line="405" w:lineRule="atLeast"/>
        <w:jc w:val="left"/>
        <w:textAlignment w:val="baseline"/>
        <w:rPr>
          <w:rFonts w:hint="eastAsia" w:ascii="黑体" w:hAnsi="宋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fldChar w:fldCharType="begin"/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instrText xml:space="preserve"> HYPERLINK "http://file.nanle.gov.cn/attached/20201215/20201215161952_803.xls" \t "http://www.nanle.gov.cn/2019/0404/_blank" </w:instrTex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fldChar w:fldCharType="separate"/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南乐县环保局2019年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  <w:lang w:eastAsia="zh-CN"/>
        </w:rPr>
        <w:t>度部门汇总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t>预算表</w:t>
      </w:r>
      <w:r>
        <w:rPr>
          <w:rFonts w:hint="eastAsia" w:ascii="黑体" w:hAnsi="宋体" w:eastAsia="黑体" w:cs="黑体"/>
          <w:color w:val="333333"/>
          <w:kern w:val="0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E568E6"/>
    <w:multiLevelType w:val="singleLevel"/>
    <w:tmpl w:val="E0E568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072881"/>
    <w:rsid w:val="000F2076"/>
    <w:rsid w:val="001C4F9E"/>
    <w:rsid w:val="001C7F61"/>
    <w:rsid w:val="003504E6"/>
    <w:rsid w:val="003554F6"/>
    <w:rsid w:val="00A61CE6"/>
    <w:rsid w:val="00AF3ECD"/>
    <w:rsid w:val="00B5646E"/>
    <w:rsid w:val="00D67166"/>
    <w:rsid w:val="00E12F24"/>
    <w:rsid w:val="00E9486B"/>
    <w:rsid w:val="01541921"/>
    <w:rsid w:val="03A64B02"/>
    <w:rsid w:val="044B54F3"/>
    <w:rsid w:val="058501EB"/>
    <w:rsid w:val="07D036DB"/>
    <w:rsid w:val="09681DA9"/>
    <w:rsid w:val="15751756"/>
    <w:rsid w:val="162F3381"/>
    <w:rsid w:val="19CD2D4F"/>
    <w:rsid w:val="218942BA"/>
    <w:rsid w:val="22495A85"/>
    <w:rsid w:val="25FD3C39"/>
    <w:rsid w:val="263E059D"/>
    <w:rsid w:val="296A719D"/>
    <w:rsid w:val="29A81BEE"/>
    <w:rsid w:val="2AFD4002"/>
    <w:rsid w:val="30E92B0B"/>
    <w:rsid w:val="31AB539F"/>
    <w:rsid w:val="32AF1CDB"/>
    <w:rsid w:val="34306654"/>
    <w:rsid w:val="39680060"/>
    <w:rsid w:val="3A7F285D"/>
    <w:rsid w:val="3B3A67B4"/>
    <w:rsid w:val="3BF045BF"/>
    <w:rsid w:val="3C3F3FE5"/>
    <w:rsid w:val="3CF54366"/>
    <w:rsid w:val="40F06952"/>
    <w:rsid w:val="43080430"/>
    <w:rsid w:val="46087C9C"/>
    <w:rsid w:val="46100611"/>
    <w:rsid w:val="46327B55"/>
    <w:rsid w:val="49FB7B8B"/>
    <w:rsid w:val="5A190718"/>
    <w:rsid w:val="5AD24BEC"/>
    <w:rsid w:val="5B502BF0"/>
    <w:rsid w:val="5EB00269"/>
    <w:rsid w:val="65F90FE8"/>
    <w:rsid w:val="6BBA1AD6"/>
    <w:rsid w:val="6F03205D"/>
    <w:rsid w:val="737371A1"/>
    <w:rsid w:val="7548368B"/>
    <w:rsid w:val="76072930"/>
    <w:rsid w:val="78072881"/>
    <w:rsid w:val="7EBE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13</Pages>
  <Words>651</Words>
  <Characters>3711</Characters>
  <Lines>0</Lines>
  <Paragraphs>0</Paragraphs>
  <TotalTime>8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2021-05-28T02:46:00Z</dcterms:created>
  <dc:creator>H</dc:creator>
  <cp:lastModifiedBy>跳跳糖</cp:lastModifiedBy>
  <dcterms:modified xsi:type="dcterms:W3CDTF">2021-06-10T08:02:31Z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1832E27E297844F2A4FA7EB133488E2A</vt:lpwstr>
  </property>
</Properties>
</file>