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宋体" w:eastAsia="黑体" w:cs="宋体"/>
          <w:kern w:val="0"/>
          <w:sz w:val="28"/>
          <w:szCs w:val="28"/>
        </w:rPr>
      </w:pPr>
    </w:p>
    <w:p>
      <w:pPr>
        <w:widowControl/>
        <w:jc w:val="left"/>
        <w:rPr>
          <w:rFonts w:ascii="黑体" w:hAnsi="宋体" w:eastAsia="黑体" w:cs="宋体"/>
          <w:kern w:val="0"/>
          <w:sz w:val="28"/>
          <w:szCs w:val="28"/>
        </w:rPr>
      </w:pPr>
    </w:p>
    <w:p>
      <w:pPr>
        <w:widowControl/>
        <w:jc w:val="left"/>
        <w:rPr>
          <w:rFonts w:ascii="黑体" w:hAnsi="宋体" w:eastAsia="黑体" w:cs="宋体"/>
          <w:kern w:val="0"/>
          <w:sz w:val="28"/>
          <w:szCs w:val="28"/>
        </w:rPr>
      </w:pPr>
    </w:p>
    <w:p>
      <w:pPr>
        <w:widowControl/>
        <w:jc w:val="left"/>
        <w:rPr>
          <w:rFonts w:ascii="黑体" w:hAnsi="宋体" w:eastAsia="黑体" w:cs="宋体"/>
          <w:kern w:val="0"/>
          <w:sz w:val="28"/>
          <w:szCs w:val="28"/>
        </w:rPr>
      </w:pPr>
    </w:p>
    <w:p>
      <w:pPr>
        <w:widowControl/>
        <w:jc w:val="left"/>
        <w:rPr>
          <w:rFonts w:ascii="黑体" w:hAnsi="宋体" w:eastAsia="黑体" w:cs="宋体"/>
          <w:kern w:val="0"/>
          <w:sz w:val="28"/>
          <w:szCs w:val="28"/>
        </w:rPr>
      </w:pPr>
    </w:p>
    <w:p>
      <w:pPr>
        <w:jc w:val="center"/>
        <w:rPr>
          <w:rFonts w:hint="eastAsia" w:ascii="黑体" w:hAnsi="黑体" w:eastAsia="黑体" w:cs="黑体"/>
          <w:sz w:val="52"/>
          <w:szCs w:val="52"/>
          <w:lang w:val="en-US" w:eastAsia="zh-CN"/>
        </w:rPr>
      </w:pPr>
      <w:r>
        <w:rPr>
          <w:rFonts w:hint="eastAsia" w:ascii="黑体" w:hAnsi="黑体" w:eastAsia="黑体" w:cs="黑体"/>
          <w:sz w:val="52"/>
          <w:szCs w:val="52"/>
          <w:lang w:val="en-US" w:eastAsia="zh-CN"/>
        </w:rPr>
        <w:t>中国共产党南乐县委员会党校</w:t>
      </w:r>
    </w:p>
    <w:p>
      <w:pPr>
        <w:jc w:val="center"/>
        <w:rPr>
          <w:rFonts w:hint="eastAsia" w:ascii="黑体" w:hAnsi="黑体" w:eastAsia="黑体" w:cs="黑体"/>
          <w:sz w:val="52"/>
          <w:szCs w:val="52"/>
        </w:rPr>
      </w:pPr>
      <w:r>
        <w:rPr>
          <w:rFonts w:hint="eastAsia" w:ascii="黑体" w:hAnsi="黑体" w:eastAsia="黑体" w:cs="黑体"/>
          <w:sz w:val="52"/>
          <w:szCs w:val="52"/>
          <w:lang w:eastAsia="zh-CN"/>
        </w:rPr>
        <w:t>2019</w:t>
      </w:r>
      <w:r>
        <w:rPr>
          <w:rFonts w:hint="eastAsia" w:ascii="黑体" w:hAnsi="黑体" w:eastAsia="黑体" w:cs="黑体"/>
          <w:sz w:val="52"/>
          <w:szCs w:val="52"/>
        </w:rPr>
        <w:t>年度部门预算</w:t>
      </w:r>
    </w:p>
    <w:p>
      <w:pPr>
        <w:jc w:val="center"/>
        <w:rPr>
          <w:rFonts w:ascii="黑体" w:hAnsi="黑体" w:eastAsia="黑体" w:cs="黑体"/>
          <w:sz w:val="52"/>
          <w:szCs w:val="52"/>
        </w:rPr>
      </w:pPr>
    </w:p>
    <w:p>
      <w:pPr>
        <w:jc w:val="center"/>
        <w:rPr>
          <w:rFonts w:ascii="黑体" w:hAnsi="黑体" w:eastAsia="黑体" w:cs="黑体"/>
          <w:sz w:val="52"/>
          <w:szCs w:val="52"/>
        </w:rPr>
      </w:pPr>
    </w:p>
    <w:p>
      <w:pPr>
        <w:jc w:val="both"/>
        <w:rPr>
          <w:rFonts w:ascii="黑体" w:hAnsi="黑体" w:eastAsia="黑体" w:cs="黑体"/>
          <w:sz w:val="52"/>
          <w:szCs w:val="52"/>
        </w:rPr>
      </w:pPr>
    </w:p>
    <w:p>
      <w:pPr>
        <w:jc w:val="center"/>
        <w:rPr>
          <w:rFonts w:ascii="黑体" w:hAnsi="黑体" w:eastAsia="黑体" w:cs="黑体"/>
          <w:sz w:val="52"/>
          <w:szCs w:val="52"/>
        </w:rPr>
      </w:pPr>
    </w:p>
    <w:p>
      <w:pPr>
        <w:jc w:val="center"/>
        <w:rPr>
          <w:rFonts w:ascii="黑体" w:hAnsi="黑体" w:eastAsia="黑体" w:cs="黑体"/>
          <w:sz w:val="52"/>
          <w:szCs w:val="52"/>
        </w:rPr>
      </w:pPr>
    </w:p>
    <w:p>
      <w:pPr>
        <w:jc w:val="both"/>
        <w:rPr>
          <w:rFonts w:ascii="黑体" w:hAnsi="黑体" w:eastAsia="黑体" w:cs="黑体"/>
          <w:sz w:val="52"/>
          <w:szCs w:val="52"/>
        </w:rPr>
      </w:pPr>
    </w:p>
    <w:p>
      <w:pPr>
        <w:jc w:val="both"/>
        <w:rPr>
          <w:rFonts w:ascii="黑体" w:hAnsi="黑体" w:eastAsia="黑体" w:cs="黑体"/>
          <w:sz w:val="52"/>
          <w:szCs w:val="52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Arial" w:hAnsi="Arial" w:eastAsia="方正小标宋简体" w:cs="Arial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2019年4</w:t>
      </w:r>
      <w:r>
        <w:rPr>
          <w:rFonts w:hint="eastAsia" w:ascii="Arial" w:hAnsi="Arial" w:eastAsia="方正小标宋简体" w:cs="Arial"/>
          <w:sz w:val="44"/>
          <w:szCs w:val="44"/>
          <w:lang w:val="en-US" w:eastAsia="zh-CN"/>
        </w:rPr>
        <w:t>月4日</w:t>
      </w:r>
    </w:p>
    <w:p>
      <w:pPr>
        <w:adjustRightInd w:val="0"/>
        <w:snapToGrid w:val="0"/>
        <w:spacing w:line="360" w:lineRule="auto"/>
        <w:jc w:val="center"/>
        <w:rPr>
          <w:rFonts w:hint="eastAsia" w:ascii="Arial" w:hAnsi="Arial" w:eastAsia="方正小标宋简体" w:cs="Arial"/>
          <w:sz w:val="44"/>
          <w:szCs w:val="44"/>
          <w:lang w:val="en-US" w:eastAsia="zh-CN"/>
        </w:rPr>
      </w:pPr>
    </w:p>
    <w:p>
      <w:pPr>
        <w:kinsoku w:val="0"/>
        <w:overflowPunct w:val="0"/>
        <w:adjustRightInd w:val="0"/>
        <w:snapToGrid w:val="0"/>
        <w:spacing w:line="360" w:lineRule="auto"/>
        <w:ind w:left="101" w:right="3569" w:firstLine="624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kinsoku w:val="0"/>
        <w:overflowPunct w:val="0"/>
        <w:adjustRightInd w:val="0"/>
        <w:snapToGrid w:val="0"/>
        <w:spacing w:line="360" w:lineRule="auto"/>
        <w:ind w:left="-142" w:right="51" w:firstLine="30" w:firstLineChars="7"/>
        <w:jc w:val="center"/>
        <w:rPr>
          <w:rFonts w:ascii="黑体" w:hAnsi="黑体" w:eastAsia="黑体" w:cs="仿宋_GB2312"/>
          <w:sz w:val="44"/>
          <w:szCs w:val="44"/>
        </w:rPr>
      </w:pPr>
      <w:r>
        <w:rPr>
          <w:rFonts w:hint="eastAsia" w:ascii="黑体" w:hAnsi="黑体" w:eastAsia="黑体" w:cs="仿宋_GB2312"/>
          <w:sz w:val="44"/>
          <w:szCs w:val="44"/>
        </w:rPr>
        <w:t>目</w:t>
      </w:r>
      <w:r>
        <w:rPr>
          <w:rFonts w:hint="eastAsia" w:ascii="黑体" w:hAnsi="黑体" w:eastAsia="黑体" w:cs="仿宋_GB2312"/>
          <w:spacing w:val="2"/>
          <w:sz w:val="44"/>
          <w:szCs w:val="44"/>
        </w:rPr>
        <w:t xml:space="preserve"> </w:t>
      </w:r>
      <w:r>
        <w:rPr>
          <w:rFonts w:hint="eastAsia" w:ascii="黑体" w:hAnsi="黑体" w:eastAsia="黑体" w:cs="仿宋_GB2312"/>
          <w:sz w:val="44"/>
          <w:szCs w:val="44"/>
        </w:rPr>
        <w:t>录</w:t>
      </w:r>
    </w:p>
    <w:p>
      <w:pPr>
        <w:kinsoku w:val="0"/>
        <w:overflowPunct w:val="0"/>
        <w:adjustRightInd w:val="0"/>
        <w:snapToGrid w:val="0"/>
        <w:spacing w:line="360" w:lineRule="auto"/>
        <w:ind w:right="3569" w:firstLine="624" w:firstLineChars="200"/>
        <w:rPr>
          <w:rFonts w:cs="仿宋_GB2312" w:asciiTheme="majorEastAsia" w:hAnsiTheme="majorEastAsia" w:eastAsiaTheme="majorEastAsia"/>
          <w:b/>
          <w:w w:val="99"/>
          <w:sz w:val="32"/>
          <w:szCs w:val="32"/>
        </w:rPr>
      </w:pPr>
      <w:r>
        <w:rPr>
          <w:rFonts w:hint="eastAsia" w:cs="仿宋_GB2312" w:asciiTheme="majorEastAsia" w:hAnsiTheme="majorEastAsia" w:eastAsiaTheme="majorEastAsia"/>
          <w:b/>
          <w:bCs/>
          <w:sz w:val="32"/>
          <w:szCs w:val="32"/>
        </w:rPr>
        <w:t>第一部分  概况</w:t>
      </w:r>
      <w:r>
        <w:rPr>
          <w:rFonts w:hint="eastAsia" w:cs="仿宋_GB2312" w:asciiTheme="majorEastAsia" w:hAnsiTheme="majorEastAsia" w:eastAsiaTheme="majorEastAsia"/>
          <w:b/>
          <w:w w:val="99"/>
          <w:sz w:val="32"/>
          <w:szCs w:val="32"/>
        </w:rPr>
        <w:t xml:space="preserve"> </w:t>
      </w:r>
    </w:p>
    <w:p>
      <w:pPr>
        <w:kinsoku w:val="0"/>
        <w:overflowPunct w:val="0"/>
        <w:adjustRightInd w:val="0"/>
        <w:snapToGrid w:val="0"/>
        <w:spacing w:line="360" w:lineRule="auto"/>
        <w:ind w:right="3569" w:firstLine="936" w:firstLineChars="3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一、主要职能</w:t>
      </w:r>
    </w:p>
    <w:p>
      <w:pPr>
        <w:kinsoku w:val="0"/>
        <w:overflowPunct w:val="0"/>
        <w:adjustRightInd w:val="0"/>
        <w:snapToGrid w:val="0"/>
        <w:spacing w:line="360" w:lineRule="auto"/>
        <w:ind w:right="3569" w:firstLine="936" w:firstLineChars="3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二、部门预算单位构成</w:t>
      </w:r>
    </w:p>
    <w:p>
      <w:pPr>
        <w:kinsoku w:val="0"/>
        <w:overflowPunct w:val="0"/>
        <w:adjustRightInd w:val="0"/>
        <w:snapToGrid w:val="0"/>
        <w:spacing w:line="360" w:lineRule="auto"/>
        <w:ind w:right="521" w:firstLine="624" w:firstLineChars="200"/>
        <w:rPr>
          <w:rFonts w:cs="仿宋_GB2312" w:asciiTheme="majorEastAsia" w:hAnsiTheme="majorEastAsia" w:eastAsiaTheme="majorEastAsia"/>
          <w:b/>
          <w:bCs/>
          <w:sz w:val="32"/>
          <w:szCs w:val="32"/>
        </w:rPr>
      </w:pPr>
      <w:r>
        <w:rPr>
          <w:rFonts w:hint="eastAsia" w:cs="仿宋_GB2312" w:asciiTheme="majorEastAsia" w:hAnsiTheme="majorEastAsia" w:eastAsiaTheme="majorEastAsia"/>
          <w:b/>
          <w:bCs/>
          <w:sz w:val="32"/>
          <w:szCs w:val="32"/>
        </w:rPr>
        <w:t xml:space="preserve">第二部门 </w:t>
      </w:r>
      <w:r>
        <w:rPr>
          <w:rFonts w:hint="eastAsia" w:cs="仿宋_GB2312" w:asciiTheme="majorEastAsia" w:hAnsiTheme="majorEastAsia" w:eastAsiaTheme="majorEastAsia"/>
          <w:b/>
          <w:bCs/>
          <w:sz w:val="32"/>
          <w:szCs w:val="32"/>
          <w:lang w:val="en-US" w:eastAsia="zh-CN"/>
        </w:rPr>
        <w:t>中国共产党南乐县委员会党校</w:t>
      </w:r>
      <w:r>
        <w:rPr>
          <w:rFonts w:hint="eastAsia" w:cs="仿宋_GB2312" w:asciiTheme="majorEastAsia" w:hAnsiTheme="majorEastAsia" w:eastAsiaTheme="majorEastAsia"/>
          <w:b/>
          <w:bCs/>
          <w:sz w:val="32"/>
          <w:szCs w:val="32"/>
          <w:lang w:eastAsia="zh-CN"/>
        </w:rPr>
        <w:t>2019</w:t>
      </w:r>
      <w:r>
        <w:rPr>
          <w:rFonts w:hint="eastAsia" w:cs="仿宋_GB2312" w:asciiTheme="majorEastAsia" w:hAnsiTheme="majorEastAsia" w:eastAsiaTheme="majorEastAsia"/>
          <w:b/>
          <w:bCs/>
          <w:sz w:val="32"/>
          <w:szCs w:val="32"/>
        </w:rPr>
        <w:t>年部门预算情况说明</w:t>
      </w:r>
    </w:p>
    <w:p>
      <w:pPr>
        <w:kinsoku w:val="0"/>
        <w:overflowPunct w:val="0"/>
        <w:adjustRightInd w:val="0"/>
        <w:snapToGrid w:val="0"/>
        <w:spacing w:line="360" w:lineRule="auto"/>
        <w:ind w:right="521" w:firstLine="624" w:firstLineChars="200"/>
        <w:rPr>
          <w:rFonts w:cs="仿宋_GB2312" w:asciiTheme="majorEastAsia" w:hAnsiTheme="majorEastAsia" w:eastAsiaTheme="majorEastAsia"/>
          <w:b/>
          <w:bCs/>
          <w:sz w:val="32"/>
          <w:szCs w:val="32"/>
        </w:rPr>
      </w:pPr>
      <w:r>
        <w:rPr>
          <w:rFonts w:hint="eastAsia" w:cs="仿宋_GB2312" w:asciiTheme="majorEastAsia" w:hAnsiTheme="majorEastAsia" w:eastAsiaTheme="majorEastAsia"/>
          <w:b/>
          <w:bCs/>
          <w:sz w:val="32"/>
          <w:szCs w:val="32"/>
        </w:rPr>
        <w:t>第三部分 名词解释</w:t>
      </w:r>
    </w:p>
    <w:p>
      <w:pPr>
        <w:kinsoku w:val="0"/>
        <w:overflowPunct w:val="0"/>
        <w:adjustRightInd w:val="0"/>
        <w:snapToGrid w:val="0"/>
        <w:spacing w:line="360" w:lineRule="auto"/>
        <w:ind w:right="521" w:firstLine="624" w:firstLineChars="200"/>
        <w:rPr>
          <w:rFonts w:cs="仿宋_GB2312" w:asciiTheme="majorEastAsia" w:hAnsiTheme="majorEastAsia" w:eastAsiaTheme="majorEastAsia"/>
          <w:b/>
          <w:bCs/>
          <w:sz w:val="32"/>
          <w:szCs w:val="32"/>
        </w:rPr>
      </w:pPr>
    </w:p>
    <w:p>
      <w:pPr>
        <w:kinsoku w:val="0"/>
        <w:overflowPunct w:val="0"/>
        <w:adjustRightInd w:val="0"/>
        <w:snapToGrid w:val="0"/>
        <w:spacing w:line="360" w:lineRule="auto"/>
        <w:ind w:firstLine="624" w:firstLineChars="200"/>
        <w:rPr>
          <w:rFonts w:ascii="黑体" w:hAnsi="Times New Roman" w:eastAsia="黑体" w:cs="黑体"/>
          <w:sz w:val="32"/>
          <w:szCs w:val="32"/>
        </w:rPr>
      </w:pPr>
      <w:r>
        <w:rPr>
          <w:rFonts w:hint="eastAsia" w:ascii="黑体" w:hAnsi="Times New Roman" w:eastAsia="黑体" w:cs="黑体"/>
          <w:sz w:val="32"/>
          <w:szCs w:val="32"/>
        </w:rPr>
        <w:t>附件：</w:t>
      </w:r>
      <w:r>
        <w:rPr>
          <w:rFonts w:hint="eastAsia" w:cs="仿宋_GB2312" w:asciiTheme="majorEastAsia" w:hAnsiTheme="majorEastAsia" w:eastAsiaTheme="majorEastAsia"/>
          <w:b/>
          <w:bCs/>
          <w:sz w:val="32"/>
          <w:szCs w:val="32"/>
          <w:lang w:val="en-US" w:eastAsia="zh-CN"/>
        </w:rPr>
        <w:t>中国共产党南乐县委员会党校</w:t>
      </w:r>
      <w:r>
        <w:rPr>
          <w:rFonts w:hint="eastAsia" w:ascii="黑体" w:hAnsi="Times New Roman" w:eastAsia="黑体" w:cs="黑体"/>
          <w:sz w:val="32"/>
          <w:szCs w:val="32"/>
          <w:lang w:eastAsia="zh-CN"/>
        </w:rPr>
        <w:t>2019</w:t>
      </w:r>
      <w:r>
        <w:rPr>
          <w:rFonts w:hint="eastAsia" w:ascii="黑体" w:hAnsi="Times New Roman" w:eastAsia="黑体" w:cs="黑体"/>
          <w:sz w:val="32"/>
          <w:szCs w:val="32"/>
        </w:rPr>
        <w:t>年度部门预算表</w:t>
      </w:r>
    </w:p>
    <w:p>
      <w:pPr>
        <w:kinsoku w:val="0"/>
        <w:overflowPunct w:val="0"/>
        <w:adjustRightInd w:val="0"/>
        <w:snapToGrid w:val="0"/>
        <w:spacing w:line="360" w:lineRule="auto"/>
        <w:ind w:right="51" w:firstLine="936" w:firstLineChars="300"/>
        <w:jc w:val="left"/>
        <w:rPr>
          <w:rFonts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一、</w:t>
      </w:r>
      <w:r>
        <w:rPr>
          <w:rFonts w:hint="eastAsia" w:ascii="仿宋_GB2312" w:eastAsia="仿宋_GB2312"/>
          <w:sz w:val="32"/>
          <w:szCs w:val="32"/>
        </w:rPr>
        <w:t>部门收支总体情况表</w:t>
      </w:r>
    </w:p>
    <w:p>
      <w:pPr>
        <w:kinsoku w:val="0"/>
        <w:overflowPunct w:val="0"/>
        <w:adjustRightInd w:val="0"/>
        <w:snapToGrid w:val="0"/>
        <w:spacing w:line="360" w:lineRule="auto"/>
        <w:ind w:right="51" w:firstLine="936" w:firstLineChars="300"/>
        <w:jc w:val="left"/>
        <w:rPr>
          <w:rFonts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二、</w:t>
      </w:r>
      <w:r>
        <w:rPr>
          <w:rFonts w:hint="eastAsia" w:ascii="仿宋_GB2312" w:eastAsia="仿宋_GB2312"/>
          <w:sz w:val="32"/>
          <w:szCs w:val="32"/>
        </w:rPr>
        <w:t>部门收入总体情况表</w:t>
      </w:r>
    </w:p>
    <w:p>
      <w:pPr>
        <w:kinsoku w:val="0"/>
        <w:overflowPunct w:val="0"/>
        <w:adjustRightInd w:val="0"/>
        <w:snapToGrid w:val="0"/>
        <w:spacing w:line="360" w:lineRule="auto"/>
        <w:ind w:right="51" w:firstLine="936" w:firstLineChars="3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三、</w:t>
      </w:r>
      <w:r>
        <w:rPr>
          <w:rFonts w:hint="eastAsia" w:ascii="仿宋_GB2312" w:eastAsia="仿宋_GB2312"/>
          <w:sz w:val="32"/>
          <w:szCs w:val="32"/>
        </w:rPr>
        <w:t>部门支出总体情况表</w:t>
      </w:r>
    </w:p>
    <w:p>
      <w:pPr>
        <w:kinsoku w:val="0"/>
        <w:overflowPunct w:val="0"/>
        <w:adjustRightInd w:val="0"/>
        <w:snapToGrid w:val="0"/>
        <w:spacing w:line="360" w:lineRule="auto"/>
        <w:ind w:right="51" w:firstLine="936" w:firstLineChars="300"/>
        <w:jc w:val="left"/>
        <w:rPr>
          <w:rFonts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四、</w:t>
      </w:r>
      <w:r>
        <w:rPr>
          <w:rFonts w:hint="eastAsia" w:ascii="仿宋_GB2312" w:eastAsia="仿宋_GB2312"/>
          <w:sz w:val="32"/>
          <w:szCs w:val="32"/>
        </w:rPr>
        <w:t>财政拨款收支总体情况表</w:t>
      </w:r>
    </w:p>
    <w:p>
      <w:pPr>
        <w:kinsoku w:val="0"/>
        <w:overflowPunct w:val="0"/>
        <w:adjustRightInd w:val="0"/>
        <w:snapToGrid w:val="0"/>
        <w:spacing w:line="360" w:lineRule="auto"/>
        <w:ind w:right="51" w:firstLine="936" w:firstLineChars="300"/>
        <w:jc w:val="left"/>
        <w:rPr>
          <w:rFonts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五、</w:t>
      </w:r>
      <w:r>
        <w:rPr>
          <w:rFonts w:hint="eastAsia" w:ascii="仿宋_GB2312" w:eastAsia="仿宋_GB2312"/>
          <w:sz w:val="32"/>
          <w:szCs w:val="32"/>
        </w:rPr>
        <w:t>一般公共预算支出情况表</w:t>
      </w:r>
    </w:p>
    <w:p>
      <w:pPr>
        <w:kinsoku w:val="0"/>
        <w:overflowPunct w:val="0"/>
        <w:adjustRightInd w:val="0"/>
        <w:snapToGrid w:val="0"/>
        <w:spacing w:line="360" w:lineRule="auto"/>
        <w:ind w:right="51" w:firstLine="936" w:firstLineChars="300"/>
        <w:jc w:val="left"/>
        <w:rPr>
          <w:rFonts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六、</w:t>
      </w:r>
      <w:r>
        <w:rPr>
          <w:rFonts w:hint="eastAsia" w:ascii="仿宋_GB2312" w:eastAsia="仿宋_GB2312"/>
          <w:sz w:val="32"/>
          <w:szCs w:val="32"/>
        </w:rPr>
        <w:t>一般公共预算基本支出情况表</w:t>
      </w:r>
    </w:p>
    <w:p>
      <w:pPr>
        <w:kinsoku w:val="0"/>
        <w:overflowPunct w:val="0"/>
        <w:adjustRightInd w:val="0"/>
        <w:snapToGrid w:val="0"/>
        <w:spacing w:line="360" w:lineRule="auto"/>
        <w:ind w:right="51" w:firstLine="936" w:firstLineChars="300"/>
        <w:jc w:val="left"/>
        <w:rPr>
          <w:rFonts w:hint="eastAsia"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七、</w:t>
      </w:r>
      <w:r>
        <w:rPr>
          <w:rFonts w:hint="eastAsia" w:ascii="仿宋_GB2312" w:eastAsia="仿宋_GB2312"/>
          <w:sz w:val="32"/>
          <w:szCs w:val="32"/>
        </w:rPr>
        <w:t>一般公共预算“三公”经费支出情况表</w:t>
      </w:r>
    </w:p>
    <w:p>
      <w:pPr>
        <w:kinsoku w:val="0"/>
        <w:overflowPunct w:val="0"/>
        <w:adjustRightInd w:val="0"/>
        <w:snapToGrid w:val="0"/>
        <w:spacing w:line="360" w:lineRule="auto"/>
        <w:ind w:right="51" w:firstLine="936" w:firstLineChars="3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八、</w:t>
      </w:r>
      <w:r>
        <w:rPr>
          <w:rFonts w:hint="eastAsia" w:ascii="仿宋_GB2312" w:eastAsia="仿宋_GB2312"/>
          <w:sz w:val="32"/>
          <w:szCs w:val="32"/>
        </w:rPr>
        <w:t>政府性基金预算支出情况表</w:t>
      </w:r>
    </w:p>
    <w:p>
      <w:pPr>
        <w:kinsoku w:val="0"/>
        <w:overflowPunct w:val="0"/>
        <w:adjustRightInd w:val="0"/>
        <w:snapToGrid w:val="0"/>
        <w:spacing w:line="360" w:lineRule="auto"/>
        <w:ind w:right="51" w:firstLine="936" w:firstLineChars="300"/>
        <w:jc w:val="left"/>
        <w:rPr>
          <w:rFonts w:hint="eastAsia"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九</w:t>
      </w:r>
      <w:r>
        <w:rPr>
          <w:rFonts w:ascii="仿宋_GB2312" w:eastAsia="仿宋_GB2312"/>
          <w:sz w:val="32"/>
          <w:szCs w:val="32"/>
        </w:rPr>
        <w:t>、</w:t>
      </w:r>
      <w:r>
        <w:rPr>
          <w:rFonts w:hint="eastAsia" w:ascii="仿宋_GB2312" w:eastAsia="仿宋_GB2312"/>
          <w:sz w:val="32"/>
          <w:szCs w:val="32"/>
        </w:rPr>
        <w:t>国有资本经营预算支出情况表</w:t>
      </w:r>
    </w:p>
    <w:p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b/>
          <w:bCs/>
          <w:sz w:val="32"/>
          <w:szCs w:val="32"/>
        </w:rPr>
      </w:pPr>
    </w:p>
    <w:p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b/>
          <w:bCs/>
          <w:sz w:val="32"/>
          <w:szCs w:val="32"/>
        </w:rPr>
      </w:pPr>
    </w:p>
    <w:p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b/>
          <w:bCs/>
          <w:sz w:val="32"/>
          <w:szCs w:val="32"/>
        </w:rPr>
      </w:pPr>
    </w:p>
    <w:p>
      <w:pPr>
        <w:adjustRightInd w:val="0"/>
        <w:snapToGrid w:val="0"/>
        <w:spacing w:line="590" w:lineRule="exact"/>
        <w:jc w:val="center"/>
        <w:rPr>
          <w:rFonts w:ascii="方正小标宋简体" w:hAnsi="仿宋_GB2312" w:eastAsia="方正小标宋简体" w:cs="仿宋_GB2312"/>
          <w:b/>
          <w:bCs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b/>
          <w:bCs/>
          <w:sz w:val="44"/>
          <w:szCs w:val="44"/>
        </w:rPr>
        <w:t>第一部分</w:t>
      </w:r>
    </w:p>
    <w:p>
      <w:pPr>
        <w:adjustRightInd w:val="0"/>
        <w:snapToGrid w:val="0"/>
        <w:spacing w:line="590" w:lineRule="exact"/>
        <w:jc w:val="center"/>
        <w:rPr>
          <w:rFonts w:hint="eastAsia" w:ascii="楷体" w:hAnsi="楷体" w:eastAsia="楷体" w:cs="仿宋_GB2312"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仿宋_GB2312"/>
          <w:bCs/>
          <w:sz w:val="32"/>
          <w:szCs w:val="32"/>
          <w:lang w:val="en-US" w:eastAsia="zh-CN"/>
        </w:rPr>
        <w:t>中国共产党南乐县委员会党校概况</w:t>
      </w:r>
    </w:p>
    <w:p>
      <w:pPr>
        <w:adjustRightInd w:val="0"/>
        <w:snapToGrid w:val="0"/>
        <w:spacing w:line="590" w:lineRule="exact"/>
        <w:ind w:firstLine="624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numPr>
          <w:ilvl w:val="0"/>
          <w:numId w:val="1"/>
        </w:numPr>
        <w:adjustRightInd w:val="0"/>
        <w:snapToGrid w:val="0"/>
        <w:spacing w:line="590" w:lineRule="exact"/>
        <w:ind w:firstLine="624" w:firstLineChars="200"/>
        <w:outlineLvl w:val="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主要职能</w:t>
      </w:r>
    </w:p>
    <w:p>
      <w:pPr>
        <w:numPr>
          <w:ilvl w:val="0"/>
          <w:numId w:val="2"/>
        </w:numPr>
        <w:kinsoku w:val="0"/>
        <w:overflowPunct w:val="0"/>
        <w:adjustRightInd w:val="0"/>
        <w:snapToGrid w:val="0"/>
        <w:spacing w:line="590" w:lineRule="exact"/>
        <w:ind w:right="3569" w:firstLine="624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机构设置情况</w:t>
      </w:r>
    </w:p>
    <w:p>
      <w:pPr>
        <w:spacing w:line="590" w:lineRule="exact"/>
        <w:ind w:firstLine="624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南乐县委党校内设 4 个科室:办公室、总务科、教研室、</w:t>
      </w:r>
    </w:p>
    <w:p>
      <w:pPr>
        <w:spacing w:line="590" w:lineRule="exact"/>
        <w:ind w:firstLine="624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社会教育科。人员构成情况：事业编制人员 30 名（行政管理人员占 15%，专业技术人员占 65%，工勤人员占 20%）。其中总支书记、常务副校长 1 名，副校长 2 名。</w:t>
      </w:r>
    </w:p>
    <w:p>
      <w:pPr>
        <w:numPr>
          <w:ilvl w:val="0"/>
          <w:numId w:val="2"/>
        </w:numPr>
        <w:kinsoku w:val="0"/>
        <w:overflowPunct w:val="0"/>
        <w:adjustRightInd w:val="0"/>
        <w:snapToGrid w:val="0"/>
        <w:spacing w:line="590" w:lineRule="exact"/>
        <w:ind w:left="0" w:leftChars="0" w:right="3569" w:firstLine="624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部门职责</w:t>
      </w:r>
    </w:p>
    <w:p>
      <w:pPr>
        <w:spacing w:line="590" w:lineRule="exact"/>
        <w:ind w:firstLine="624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加大培训轮训力度，深化教学改革，建立和完善党校教学新布局。为县委县政府及其他有关部门提供教育服务，目前主要轮训科级干部、中青年后备干部、股级干部、农村党支部书记、村委会主任以及需要培训的领导干部和工作人员。</w:t>
      </w:r>
    </w:p>
    <w:p>
      <w:pPr>
        <w:spacing w:line="590" w:lineRule="exact"/>
        <w:ind w:firstLine="624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2.进一步加强科研工作，充分发挥理论阵地作用。</w:t>
      </w:r>
    </w:p>
    <w:p>
      <w:pPr>
        <w:spacing w:line="590" w:lineRule="exact"/>
        <w:ind w:firstLine="624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3.相关社会服务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adjustRightInd w:val="0"/>
        <w:snapToGrid w:val="0"/>
        <w:spacing w:line="590" w:lineRule="exact"/>
        <w:ind w:firstLine="624" w:firstLineChars="20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二、</w:t>
      </w:r>
      <w:r>
        <w:rPr>
          <w:rFonts w:hint="eastAsia" w:ascii="黑体" w:hAnsi="黑体" w:eastAsia="黑体" w:cs="仿宋_GB2312"/>
          <w:sz w:val="32"/>
          <w:szCs w:val="32"/>
          <w:lang w:val="en-US" w:eastAsia="zh-CN"/>
        </w:rPr>
        <w:t>中国共产党南乐县委员会党校</w:t>
      </w:r>
      <w:r>
        <w:rPr>
          <w:rFonts w:hint="eastAsia" w:ascii="黑体" w:hAnsi="黑体" w:eastAsia="黑体" w:cs="仿宋_GB2312"/>
          <w:sz w:val="32"/>
          <w:szCs w:val="32"/>
        </w:rPr>
        <w:t>预算</w:t>
      </w:r>
      <w:r>
        <w:rPr>
          <w:rFonts w:hint="eastAsia" w:ascii="黑体" w:hAnsi="黑体" w:eastAsia="黑体" w:cs="仿宋_GB2312"/>
          <w:sz w:val="32"/>
          <w:szCs w:val="32"/>
          <w:lang w:val="en-US" w:eastAsia="zh-CN"/>
        </w:rPr>
        <w:t>单位</w:t>
      </w:r>
      <w:r>
        <w:rPr>
          <w:rFonts w:hint="eastAsia" w:ascii="黑体" w:hAnsi="黑体" w:eastAsia="黑体" w:cs="仿宋_GB2312"/>
          <w:sz w:val="32"/>
          <w:szCs w:val="32"/>
        </w:rPr>
        <w:t>构成</w:t>
      </w:r>
    </w:p>
    <w:p>
      <w:pPr>
        <w:adjustRightInd w:val="0"/>
        <w:snapToGrid w:val="0"/>
        <w:spacing w:line="590" w:lineRule="exact"/>
        <w:ind w:firstLine="624" w:firstLineChars="200"/>
        <w:rPr>
          <w:rFonts w:ascii="Arial" w:hAnsi="Arial" w:eastAsia="仿宋_GB2312" w:cs="Arial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本部门没有独立核算的下级预算单位，部门本级预算即汇总预算。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</w:t>
      </w:r>
    </w:p>
    <w:p>
      <w:pPr>
        <w:kinsoku w:val="0"/>
        <w:overflowPunct w:val="0"/>
        <w:adjustRightInd w:val="0"/>
        <w:snapToGrid w:val="0"/>
        <w:spacing w:line="590" w:lineRule="exact"/>
        <w:ind w:right="3569" w:firstLine="624" w:firstLineChars="200"/>
        <w:jc w:val="left"/>
        <w:outlineLvl w:val="0"/>
        <w:rPr>
          <w:rFonts w:ascii="黑体" w:hAnsi="黑体" w:eastAsia="黑体" w:cs="仿宋_GB2312"/>
          <w:sz w:val="32"/>
          <w:szCs w:val="32"/>
        </w:rPr>
      </w:pPr>
    </w:p>
    <w:p>
      <w:pPr>
        <w:adjustRightInd w:val="0"/>
        <w:snapToGrid w:val="0"/>
        <w:spacing w:line="590" w:lineRule="exact"/>
        <w:jc w:val="center"/>
        <w:rPr>
          <w:rFonts w:hint="eastAsia" w:ascii="方正小标宋简体" w:hAnsi="仿宋_GB2312" w:eastAsia="方正小标宋简体" w:cs="仿宋_GB2312"/>
          <w:b/>
          <w:bCs/>
          <w:sz w:val="44"/>
          <w:szCs w:val="44"/>
        </w:rPr>
      </w:pPr>
    </w:p>
    <w:p>
      <w:pPr>
        <w:adjustRightInd w:val="0"/>
        <w:snapToGrid w:val="0"/>
        <w:spacing w:line="590" w:lineRule="exact"/>
        <w:jc w:val="center"/>
        <w:rPr>
          <w:rFonts w:hint="eastAsia" w:ascii="方正小标宋简体" w:hAnsi="仿宋_GB2312" w:eastAsia="方正小标宋简体" w:cs="仿宋_GB2312"/>
          <w:b/>
          <w:bCs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b/>
          <w:bCs/>
          <w:sz w:val="44"/>
          <w:szCs w:val="44"/>
        </w:rPr>
        <w:t>第二部分</w:t>
      </w:r>
    </w:p>
    <w:p>
      <w:pPr>
        <w:adjustRightInd w:val="0"/>
        <w:snapToGrid w:val="0"/>
        <w:spacing w:line="590" w:lineRule="exact"/>
        <w:jc w:val="center"/>
        <w:rPr>
          <w:rFonts w:hint="eastAsia" w:ascii="楷体" w:hAnsi="楷体" w:eastAsia="楷体" w:cs="仿宋_GB2312"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仿宋_GB2312"/>
          <w:bCs/>
          <w:sz w:val="32"/>
          <w:szCs w:val="32"/>
          <w:lang w:val="en-US" w:eastAsia="zh-CN"/>
        </w:rPr>
        <w:t>中国共产党南乐县委员会党校2019年度部门预算情况说明</w:t>
      </w:r>
    </w:p>
    <w:p>
      <w:pPr>
        <w:adjustRightInd w:val="0"/>
        <w:snapToGrid w:val="0"/>
        <w:spacing w:line="590" w:lineRule="exact"/>
        <w:jc w:val="center"/>
        <w:rPr>
          <w:rFonts w:hint="eastAsia" w:ascii="楷体" w:hAnsi="楷体" w:eastAsia="楷体" w:cs="仿宋_GB2312"/>
          <w:bCs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590" w:lineRule="exact"/>
        <w:ind w:firstLine="624" w:firstLineChars="200"/>
        <w:outlineLvl w:val="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一、收入支出预算总体情况说明</w:t>
      </w:r>
    </w:p>
    <w:p>
      <w:pPr>
        <w:adjustRightInd w:val="0"/>
        <w:snapToGrid w:val="0"/>
        <w:spacing w:line="590" w:lineRule="exact"/>
        <w:ind w:firstLine="624" w:firstLineChars="200"/>
        <w:rPr>
          <w:rFonts w:ascii="Arial" w:hAnsi="Arial" w:eastAsia="仿宋_GB2312" w:cs="Arial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南乐县委党校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2019</w:t>
      </w:r>
      <w:r>
        <w:rPr>
          <w:rFonts w:hint="eastAsia" w:ascii="仿宋_GB2312" w:hAnsi="仿宋_GB2312" w:eastAsia="仿宋_GB2312" w:cs="仿宋_GB2312"/>
          <w:sz w:val="32"/>
          <w:szCs w:val="32"/>
        </w:rPr>
        <w:t>年收入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472.48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万元，支出总计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472.48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2018</w:t>
      </w:r>
      <w:r>
        <w:rPr>
          <w:rFonts w:hint="eastAsia" w:ascii="仿宋_GB2312" w:hAnsi="仿宋_GB2312" w:eastAsia="仿宋_GB2312" w:cs="仿宋_GB2312"/>
          <w:sz w:val="32"/>
          <w:szCs w:val="32"/>
        </w:rPr>
        <w:t>年相比，收、支总计各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减少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2.31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减少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0.49</w:t>
      </w:r>
      <w:r>
        <w:rPr>
          <w:rFonts w:hint="eastAsia" w:ascii="仿宋_GB2312" w:hAnsi="宋体" w:eastAsia="仿宋_GB2312" w:cs="Courier New"/>
          <w:sz w:val="32"/>
          <w:szCs w:val="32"/>
        </w:rPr>
        <w:t>%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主要原因：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2018年补发在职人员调标工资</w:t>
      </w:r>
      <w:r>
        <w:rPr>
          <w:rFonts w:hint="eastAsia" w:ascii="仿宋_GB2312" w:hAnsi="宋体" w:eastAsia="仿宋_GB2312" w:cs="Courier New"/>
          <w:sz w:val="32"/>
          <w:szCs w:val="32"/>
        </w:rPr>
        <w:t>、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退休人员健康休养费，补缴职业年金、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2014年养老制度改革后养老金差额。</w:t>
      </w:r>
      <w:r>
        <w:rPr>
          <w:rFonts w:hint="eastAsia" w:ascii="Arial" w:hAnsi="Arial" w:eastAsia="仿宋_GB2312" w:cs="Arial"/>
          <w:sz w:val="32"/>
          <w:szCs w:val="32"/>
        </w:rPr>
        <w:t xml:space="preserve">  </w:t>
      </w:r>
    </w:p>
    <w:p>
      <w:pPr>
        <w:adjustRightInd w:val="0"/>
        <w:snapToGrid w:val="0"/>
        <w:spacing w:line="590" w:lineRule="exact"/>
        <w:ind w:firstLine="624" w:firstLineChars="20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二、收入预算总体情况说明</w:t>
      </w:r>
    </w:p>
    <w:p>
      <w:pPr>
        <w:adjustRightInd w:val="0"/>
        <w:snapToGrid w:val="0"/>
        <w:spacing w:line="590" w:lineRule="exact"/>
        <w:ind w:firstLine="624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南乐县委党校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2019</w:t>
      </w:r>
      <w:r>
        <w:rPr>
          <w:rFonts w:hint="eastAsia" w:ascii="仿宋_GB2312" w:hAnsi="仿宋_GB2312" w:eastAsia="仿宋_GB2312" w:cs="仿宋_GB2312"/>
          <w:sz w:val="32"/>
          <w:szCs w:val="32"/>
        </w:rPr>
        <w:t>年收入合计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472.48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万元，其中：一般公共预算收入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455.77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万元;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上年结转结余16.72万元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90" w:lineRule="exact"/>
        <w:ind w:firstLine="624" w:firstLineChars="200"/>
        <w:outlineLvl w:val="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三、支出预算总体情况说明</w:t>
      </w:r>
    </w:p>
    <w:p>
      <w:pPr>
        <w:spacing w:line="590" w:lineRule="exact"/>
        <w:ind w:firstLine="624" w:firstLineChars="200"/>
        <w:rPr>
          <w:rFonts w:ascii="仿宋_GB2312" w:hAnsi="仿宋_GB2312" w:eastAsia="仿宋_GB2312" w:cs="仿宋_GB2312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南乐县委党校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2019</w:t>
      </w:r>
      <w:r>
        <w:rPr>
          <w:rFonts w:hint="eastAsia" w:ascii="仿宋_GB2312" w:hAnsi="仿宋_GB2312" w:eastAsia="仿宋_GB2312" w:cs="仿宋_GB2312"/>
          <w:sz w:val="32"/>
          <w:szCs w:val="32"/>
        </w:rPr>
        <w:t>年支出合计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472.48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万元，其中：基本支出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434.87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92.04</w:t>
      </w:r>
      <w:r>
        <w:rPr>
          <w:rFonts w:hint="eastAsia" w:ascii="Arial" w:hAnsi="Arial" w:eastAsia="仿宋_GB2312" w:cs="Arial"/>
          <w:sz w:val="32"/>
          <w:szCs w:val="32"/>
        </w:rPr>
        <w:t>%</w:t>
      </w:r>
      <w:r>
        <w:rPr>
          <w:rFonts w:hint="eastAsia" w:ascii="仿宋_GB2312" w:hAnsi="仿宋_GB2312" w:eastAsia="仿宋_GB2312" w:cs="仿宋_GB2312"/>
          <w:sz w:val="32"/>
          <w:szCs w:val="32"/>
        </w:rPr>
        <w:t>；项目支出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37.62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7.96</w:t>
      </w:r>
      <w:r>
        <w:rPr>
          <w:rFonts w:hint="eastAsia" w:ascii="仿宋_GB2312" w:hAnsi="仿宋_GB2312" w:eastAsia="仿宋_GB2312" w:cs="仿宋_GB2312"/>
          <w:sz w:val="32"/>
          <w:szCs w:val="32"/>
        </w:rPr>
        <w:t>%。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 xml:space="preserve"> </w:t>
      </w:r>
    </w:p>
    <w:p>
      <w:pPr>
        <w:spacing w:line="590" w:lineRule="exact"/>
        <w:ind w:firstLine="624" w:firstLineChars="200"/>
        <w:outlineLvl w:val="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四、财政拨款收入支出预算总体情况说明</w:t>
      </w:r>
    </w:p>
    <w:p>
      <w:pPr>
        <w:spacing w:line="590" w:lineRule="exact"/>
        <w:ind w:firstLine="624" w:firstLineChars="200"/>
        <w:rPr>
          <w:rFonts w:hint="default" w:ascii="仿宋_GB2312" w:hAnsi="仿宋_GB2312" w:eastAsia="仿宋_GB2312" w:cs="仿宋_GB2312"/>
          <w:color w:val="C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南乐县委党校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2019</w:t>
      </w:r>
      <w:r>
        <w:rPr>
          <w:rFonts w:hint="eastAsia" w:ascii="仿宋_GB2312" w:hAnsi="仿宋_GB2312" w:eastAsia="仿宋_GB2312" w:cs="仿宋_GB2312"/>
          <w:sz w:val="32"/>
          <w:szCs w:val="32"/>
        </w:rPr>
        <w:t>年一般公共预算收支预算</w:t>
      </w:r>
      <w:r>
        <w:rPr>
          <w:rFonts w:hint="eastAsia" w:ascii="Arial" w:hAnsi="Arial" w:eastAsia="仿宋_GB2312" w:cs="Arial"/>
          <w:b w:val="0"/>
          <w:bCs w:val="0"/>
          <w:sz w:val="32"/>
          <w:szCs w:val="32"/>
          <w:lang w:val="en-US" w:eastAsia="zh-CN"/>
        </w:rPr>
        <w:t>455.77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政府性基金收支预算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0</w:t>
      </w:r>
      <w:r>
        <w:rPr>
          <w:rFonts w:hint="eastAsia" w:ascii="Arial" w:hAnsi="Arial" w:eastAsia="仿宋_GB2312" w:cs="Arial"/>
          <w:sz w:val="32"/>
          <w:szCs w:val="32"/>
        </w:rPr>
        <w:t>万元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;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与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2018</w:t>
      </w:r>
      <w:r>
        <w:rPr>
          <w:rFonts w:hint="eastAsia" w:ascii="仿宋_GB2312" w:hAnsi="仿宋_GB2312" w:eastAsia="仿宋_GB2312" w:cs="仿宋_GB2312"/>
          <w:sz w:val="32"/>
          <w:szCs w:val="32"/>
        </w:rPr>
        <w:t>年相比，一般公共预算收支预算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减少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2.31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减少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0.49</w:t>
      </w:r>
      <w:r>
        <w:rPr>
          <w:rFonts w:hint="eastAsia" w:ascii="仿宋_GB2312" w:hAnsi="仿宋_GB2312" w:eastAsia="仿宋_GB2312" w:cs="仿宋_GB2312"/>
          <w:sz w:val="32"/>
          <w:szCs w:val="32"/>
        </w:rPr>
        <w:t>%，主要原因：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2018年补发在职人员调标工资</w:t>
      </w:r>
      <w:r>
        <w:rPr>
          <w:rFonts w:hint="eastAsia" w:ascii="仿宋_GB2312" w:hAnsi="宋体" w:eastAsia="仿宋_GB2312" w:cs="Courier New"/>
          <w:sz w:val="32"/>
          <w:szCs w:val="32"/>
        </w:rPr>
        <w:t>、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退休人员健康休养费，补缴职业年金、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2014年养老制度改革后养老金差额</w:t>
      </w:r>
      <w:r>
        <w:rPr>
          <w:rFonts w:hint="eastAsia" w:ascii="Arial" w:hAnsi="Arial" w:eastAsia="仿宋_GB2312" w:cs="Arial"/>
          <w:sz w:val="32"/>
          <w:szCs w:val="32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政府性基金收支增加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0</w:t>
      </w:r>
      <w:r>
        <w:rPr>
          <w:rFonts w:hint="eastAsia" w:ascii="Arial" w:hAnsi="Arial" w:eastAsia="仿宋_GB2312" w:cs="Arial"/>
          <w:sz w:val="32"/>
          <w:szCs w:val="32"/>
        </w:rPr>
        <w:t>万元，增长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，较上年无变化</w:t>
      </w:r>
      <w:r>
        <w:rPr>
          <w:rFonts w:hint="eastAsia" w:ascii="Arial" w:hAnsi="Arial" w:eastAsia="仿宋_GB2312" w:cs="Arial"/>
          <w:sz w:val="32"/>
          <w:szCs w:val="32"/>
        </w:rPr>
        <w:t>。</w:t>
      </w:r>
    </w:p>
    <w:p>
      <w:pPr>
        <w:spacing w:line="590" w:lineRule="exact"/>
        <w:ind w:firstLine="624" w:firstLineChars="200"/>
        <w:outlineLvl w:val="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五、一般公共预算支出预算情况说明</w:t>
      </w:r>
    </w:p>
    <w:p>
      <w:pPr>
        <w:spacing w:line="560" w:lineRule="exact"/>
        <w:ind w:firstLine="624" w:firstLineChars="200"/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南乐县委党校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2019</w:t>
      </w:r>
      <w:r>
        <w:rPr>
          <w:rFonts w:hint="eastAsia" w:ascii="仿宋_GB2312" w:hAnsi="仿宋_GB2312" w:eastAsia="仿宋_GB2312" w:cs="仿宋_GB2312"/>
          <w:sz w:val="32"/>
          <w:szCs w:val="32"/>
        </w:rPr>
        <w:t>年一般公共预算支出年初预算为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472.48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万元。主要用于以下方面：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教育支出</w:t>
      </w:r>
      <w:r>
        <w:rPr>
          <w:rFonts w:hint="eastAsia" w:ascii="仿宋_GB2312" w:hAnsi="宋体" w:eastAsia="仿宋_GB2312" w:cs="Courier New"/>
          <w:sz w:val="32"/>
          <w:szCs w:val="32"/>
        </w:rPr>
        <w:t>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374.47</w:t>
      </w:r>
      <w:r>
        <w:rPr>
          <w:rFonts w:hint="eastAsia" w:ascii="仿宋_GB2312" w:hAnsi="宋体" w:eastAsia="仿宋_GB2312" w:cs="Courier New"/>
          <w:sz w:val="32"/>
          <w:szCs w:val="32"/>
        </w:rPr>
        <w:t>万元，占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79.26</w:t>
      </w:r>
      <w:r>
        <w:rPr>
          <w:rFonts w:ascii="仿宋_GB2312" w:hAnsi="宋体" w:eastAsia="仿宋_GB2312" w:cs="Courier New"/>
          <w:sz w:val="32"/>
          <w:szCs w:val="32"/>
        </w:rPr>
        <w:t>%</w:t>
      </w:r>
      <w:r>
        <w:rPr>
          <w:rFonts w:hint="eastAsia" w:ascii="仿宋_GB2312" w:hAnsi="宋体" w:eastAsia="仿宋_GB2312" w:cs="Courier New"/>
          <w:sz w:val="32"/>
          <w:szCs w:val="32"/>
        </w:rPr>
        <w:t>；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社会保障和就业支出</w:t>
      </w:r>
      <w:r>
        <w:rPr>
          <w:rFonts w:hint="eastAsia" w:ascii="仿宋_GB2312" w:hAnsi="宋体" w:eastAsia="仿宋_GB2312" w:cs="Courier New"/>
          <w:sz w:val="32"/>
          <w:szCs w:val="32"/>
        </w:rPr>
        <w:t>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62.05</w:t>
      </w:r>
      <w:r>
        <w:rPr>
          <w:rFonts w:hint="eastAsia" w:ascii="仿宋_GB2312" w:hAnsi="宋体" w:eastAsia="仿宋_GB2312" w:cs="Courier New"/>
          <w:sz w:val="32"/>
          <w:szCs w:val="32"/>
        </w:rPr>
        <w:t>万元，占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13.13</w:t>
      </w:r>
      <w:r>
        <w:rPr>
          <w:rFonts w:ascii="仿宋_GB2312" w:hAnsi="宋体" w:eastAsia="仿宋_GB2312" w:cs="Courier New"/>
          <w:sz w:val="32"/>
          <w:szCs w:val="32"/>
        </w:rPr>
        <w:t>%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；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卫生健康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支出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11.64万元，占2.46%；住房保障支出支出24.32万元，占5.15%。</w:t>
      </w:r>
    </w:p>
    <w:p>
      <w:pPr>
        <w:spacing w:line="590" w:lineRule="exact"/>
        <w:ind w:firstLine="624" w:firstLineChars="200"/>
        <w:outlineLvl w:val="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kern w:val="0"/>
          <w:sz w:val="32"/>
          <w:szCs w:val="32"/>
        </w:rPr>
        <w:t>六、一般公共预算基本支出预算情况说明</w:t>
      </w:r>
    </w:p>
    <w:p>
      <w:pPr>
        <w:widowControl/>
        <w:spacing w:line="590" w:lineRule="exact"/>
        <w:ind w:firstLine="622"/>
        <w:jc w:val="left"/>
        <w:rPr>
          <w:rFonts w:ascii="仿宋_GB2312" w:hAnsi="仿宋_GB2312" w:eastAsia="仿宋_GB2312" w:cs="仿宋_GB2312"/>
          <w:color w:val="FF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南乐县委党校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2019</w:t>
      </w:r>
      <w:r>
        <w:rPr>
          <w:rFonts w:hint="eastAsia" w:ascii="仿宋_GB2312" w:hAnsi="仿宋_GB2312" w:eastAsia="仿宋_GB2312" w:cs="仿宋_GB2312"/>
          <w:sz w:val="32"/>
          <w:szCs w:val="32"/>
        </w:rPr>
        <w:t>年一般公共预算基本支出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434.87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万元，其中：</w:t>
      </w:r>
      <w:r>
        <w:rPr>
          <w:rFonts w:hint="eastAsia" w:ascii="仿宋_GB2312" w:hAnsi="仿宋_GB2312" w:eastAsia="仿宋_GB2312" w:cs="仿宋_GB2312"/>
          <w:b/>
          <w:spacing w:val="-1"/>
          <w:kern w:val="0"/>
          <w:sz w:val="32"/>
          <w:szCs w:val="32"/>
        </w:rPr>
        <w:t>人员经费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val="en-US" w:eastAsia="zh-CN"/>
        </w:rPr>
        <w:t>411.53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主要包括：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基本工资、津贴补贴、奖金、绩效工资、机关事业单位基本养老保险缴费、职业年金缴费、医疗保险缴费、其他社会保障缴费、住房公积金、其他工资福利支出、离休费、退休费、其他对个人和家庭的补助支出；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公用经费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23.34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，主要包括：办公费、印刷费、手续费、水费、电费、邮电费、差旅费、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公务接待费、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维修（护）费、培训费、劳务费、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工会经费、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其他交通费用、其他商品和服务支出。</w:t>
      </w:r>
    </w:p>
    <w:p>
      <w:pPr>
        <w:spacing w:line="590" w:lineRule="exact"/>
        <w:ind w:firstLine="624" w:firstLineChars="200"/>
        <w:outlineLvl w:val="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kern w:val="0"/>
          <w:sz w:val="32"/>
          <w:szCs w:val="32"/>
        </w:rPr>
        <w:t>七、政府性基金预算支出预算情况说明</w:t>
      </w:r>
    </w:p>
    <w:p>
      <w:pPr>
        <w:spacing w:line="590" w:lineRule="exact"/>
        <w:ind w:firstLine="624" w:firstLineChars="200"/>
        <w:rPr>
          <w:rFonts w:ascii="仿宋_GB2312" w:hAnsi="仿宋_GB2312" w:eastAsia="仿宋_GB2312" w:cs="仿宋_GB2312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我单位2019年没有使用政府性基金预算拨款安排的支出。</w:t>
      </w:r>
    </w:p>
    <w:p>
      <w:pPr>
        <w:spacing w:line="590" w:lineRule="exact"/>
        <w:ind w:firstLine="624" w:firstLineChars="200"/>
        <w:outlineLvl w:val="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kern w:val="0"/>
          <w:sz w:val="32"/>
          <w:szCs w:val="32"/>
        </w:rPr>
        <w:t>八、“三公”经费支出预算情况说明</w:t>
      </w:r>
    </w:p>
    <w:p>
      <w:pPr>
        <w:widowControl/>
        <w:spacing w:line="590" w:lineRule="exact"/>
        <w:ind w:firstLine="624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南乐县委党校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2019</w:t>
      </w:r>
      <w:r>
        <w:rPr>
          <w:rFonts w:hint="eastAsia" w:ascii="仿宋_GB2312" w:hAnsi="仿宋_GB2312" w:eastAsia="仿宋_GB2312" w:cs="仿宋_GB2312"/>
          <w:sz w:val="32"/>
          <w:szCs w:val="32"/>
        </w:rPr>
        <w:t>年“三公”经费预算为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1.0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万元。 比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2018</w:t>
      </w:r>
      <w:r>
        <w:rPr>
          <w:rFonts w:hint="eastAsia" w:ascii="仿宋_GB2312" w:hAnsi="仿宋_GB2312" w:eastAsia="仿宋_GB2312" w:cs="仿宋_GB2312"/>
          <w:sz w:val="32"/>
          <w:szCs w:val="32"/>
        </w:rPr>
        <w:t>年预算数增加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，较上年无变化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590" w:lineRule="exact"/>
        <w:ind w:firstLine="624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具体支出情况如下：</w:t>
      </w:r>
    </w:p>
    <w:p>
      <w:pPr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napToGrid w:val="0"/>
        <w:spacing w:line="590" w:lineRule="exact"/>
        <w:ind w:firstLine="62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pacing w:val="-1"/>
          <w:kern w:val="0"/>
          <w:sz w:val="32"/>
          <w:szCs w:val="32"/>
        </w:rPr>
        <w:t>因公出国（境）费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万元。预算数比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2018</w:t>
      </w:r>
      <w:r>
        <w:rPr>
          <w:rFonts w:hint="eastAsia" w:ascii="仿宋_GB2312" w:hAnsi="仿宋_GB2312" w:eastAsia="仿宋_GB2312" w:cs="仿宋_GB2312"/>
          <w:sz w:val="32"/>
          <w:szCs w:val="32"/>
        </w:rPr>
        <w:t>年增加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万元，增长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%，主要原因：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我单位没有因公出国预算支出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napToGrid w:val="0"/>
        <w:spacing w:line="590" w:lineRule="exact"/>
        <w:ind w:firstLine="62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pacing w:val="-1"/>
          <w:kern w:val="0"/>
          <w:sz w:val="32"/>
          <w:szCs w:val="32"/>
        </w:rPr>
        <w:t>公务用车购置及运行费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</w:t>
      </w:r>
      <w:r>
        <w:rPr>
          <w:rFonts w:hint="eastAsia" w:ascii="仿宋_GB2312" w:hAnsi="仿宋_GB2312" w:eastAsia="仿宋_GB2312" w:cs="仿宋_GB2312"/>
          <w:sz w:val="32"/>
          <w:szCs w:val="32"/>
        </w:rPr>
        <w:t>元。其中公务车辆购置费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万元,比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2018</w:t>
      </w:r>
      <w:r>
        <w:rPr>
          <w:rFonts w:hint="eastAsia" w:ascii="仿宋_GB2312" w:hAnsi="仿宋_GB2312" w:eastAsia="仿宋_GB2312" w:cs="仿宋_GB2312"/>
          <w:sz w:val="32"/>
          <w:szCs w:val="32"/>
        </w:rPr>
        <w:t>年减少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万元，较上年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无变化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，主要原因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党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校没有公务用车购置预算。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公务用车运行维护费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</w:rPr>
        <w:t>，比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2018</w:t>
      </w:r>
      <w:r>
        <w:rPr>
          <w:rFonts w:hint="eastAsia" w:ascii="仿宋_GB2312" w:hAnsi="仿宋_GB2312" w:eastAsia="仿宋_GB2312" w:cs="仿宋_GB2312"/>
          <w:sz w:val="32"/>
          <w:szCs w:val="32"/>
        </w:rPr>
        <w:t>年减少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万元，较上年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无变化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，主要原因：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党校没有公务用车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。</w:t>
      </w:r>
    </w:p>
    <w:p>
      <w:pPr>
        <w:numPr>
          <w:ilvl w:val="0"/>
          <w:numId w:val="3"/>
        </w:numPr>
        <w:spacing w:line="590" w:lineRule="exact"/>
        <w:ind w:left="0" w:leftChars="0" w:firstLine="620" w:firstLineChars="200"/>
        <w:outlineLvl w:val="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pacing w:val="-1"/>
          <w:kern w:val="0"/>
          <w:sz w:val="32"/>
          <w:szCs w:val="32"/>
        </w:rPr>
        <w:t>公务接待费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万元，主要用于</w:t>
      </w:r>
      <w:r>
        <w:rPr>
          <w:rFonts w:hint="eastAsia" w:ascii="仿宋_GB2312" w:hAnsi="宋体" w:eastAsia="仿宋_GB2312" w:cs="Courier New"/>
          <w:sz w:val="32"/>
          <w:szCs w:val="32"/>
        </w:rPr>
        <w:t>按规定开支的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教育培训相关的</w:t>
      </w:r>
      <w:r>
        <w:rPr>
          <w:rFonts w:hint="eastAsia" w:ascii="仿宋_GB2312" w:hAnsi="宋体" w:eastAsia="仿宋_GB2312" w:cs="Courier New"/>
          <w:sz w:val="32"/>
          <w:szCs w:val="32"/>
        </w:rPr>
        <w:t>各类接待支出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201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年预算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较上年没有变化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。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590" w:lineRule="exact"/>
        <w:ind w:firstLine="624" w:firstLineChars="200"/>
        <w:outlineLvl w:val="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kern w:val="0"/>
          <w:sz w:val="32"/>
          <w:szCs w:val="32"/>
        </w:rPr>
        <w:t xml:space="preserve"> </w:t>
      </w:r>
      <w:r>
        <w:rPr>
          <w:rFonts w:hint="eastAsia" w:ascii="黑体" w:hAnsi="黑体" w:eastAsia="黑体" w:cs="仿宋_GB2312"/>
          <w:spacing w:val="-1"/>
          <w:kern w:val="0"/>
          <w:sz w:val="32"/>
          <w:szCs w:val="32"/>
        </w:rPr>
        <w:t>九、其他重要事项的情况说明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590" w:lineRule="exact"/>
        <w:ind w:firstLine="624" w:firstLineChars="200"/>
        <w:outlineLvl w:val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（一）机关运行经费支出情况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590" w:lineRule="exact"/>
        <w:ind w:firstLine="624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我单位不是行政机关，也不是参照公务员管理事业单位，没有机关运行经费支出。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590" w:lineRule="exact"/>
        <w:ind w:firstLine="624" w:firstLineChars="200"/>
        <w:outlineLvl w:val="0"/>
        <w:rPr>
          <w:rFonts w:ascii="仿宋_GB2312" w:hAnsi="仿宋_GB2312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（二）政府采购支出情况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590" w:lineRule="exact"/>
        <w:ind w:firstLine="624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2019</w:t>
      </w:r>
      <w:r>
        <w:rPr>
          <w:rFonts w:hint="eastAsia" w:ascii="仿宋_GB2312" w:hAnsi="仿宋_GB2312" w:eastAsia="仿宋_GB2312" w:cs="仿宋_GB2312"/>
          <w:sz w:val="32"/>
          <w:szCs w:val="32"/>
        </w:rPr>
        <w:t>年政府采购预算安排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政府采购货物预算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万元、政府采购工程预算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万元、政府采购服务预算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万元。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590" w:lineRule="exact"/>
        <w:ind w:firstLine="624" w:firstLineChars="200"/>
        <w:outlineLvl w:val="0"/>
        <w:rPr>
          <w:rFonts w:ascii="仿宋_GB2312" w:hAnsi="仿宋_GB2312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（三）关于预算绩效管理工作开展情况说明</w:t>
      </w:r>
    </w:p>
    <w:p>
      <w:pPr>
        <w:spacing w:line="590" w:lineRule="exact"/>
        <w:ind w:firstLine="624" w:firstLineChars="200"/>
        <w:rPr>
          <w:rFonts w:ascii="仿宋_GB2312" w:hAnsi="仿宋_GB2312" w:eastAsia="仿宋_GB2312" w:cs="仿宋_GB2312"/>
          <w:color w:val="C0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2018</w:t>
      </w:r>
      <w:r>
        <w:rPr>
          <w:rFonts w:hint="eastAsia" w:ascii="仿宋_GB2312" w:hAnsi="仿宋_GB2312" w:eastAsia="仿宋_GB2312" w:cs="仿宋_GB2312"/>
          <w:sz w:val="32"/>
          <w:szCs w:val="32"/>
        </w:rPr>
        <w:t>年,我部门对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个项目进行了预算绩效评价，涉及资金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2019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年，我部门纳入预算绩效管理的支出总额为</w:t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37.62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其中人员经费支出0万元，公用经费支出0万元，</w:t>
      </w:r>
      <w:r>
        <w:rPr>
          <w:rFonts w:hint="eastAsia" w:ascii="仿宋_GB2312" w:hAnsi="仿宋_GB2312" w:eastAsia="仿宋_GB2312" w:cs="仿宋_GB2312"/>
          <w:sz w:val="32"/>
          <w:szCs w:val="32"/>
        </w:rPr>
        <w:t>支出项目共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个，支出总额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37.62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万元，其中预算支出100万元及100万元以上项目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个。</w:t>
      </w:r>
    </w:p>
    <w:p>
      <w:pPr>
        <w:spacing w:line="590" w:lineRule="exact"/>
        <w:ind w:left="404" w:left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（四）国有资产占用情况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590" w:lineRule="exact"/>
        <w:ind w:firstLine="624" w:firstLineChars="200"/>
        <w:rPr>
          <w:rFonts w:hint="eastAsia" w:ascii="仿宋_GB2312" w:hAnsi="宋体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2018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年期末，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南乐县委党校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固定资产总额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151.54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万元，其中，房屋建筑物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65.54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万元，车辆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万元。共有车辆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辆；</w:t>
      </w:r>
      <w:r>
        <w:rPr>
          <w:rFonts w:hint="eastAsia" w:ascii="仿宋_GB2312" w:hAnsi="仿宋_GB2312" w:eastAsia="仿宋_GB2312" w:cs="仿宋_GB2312"/>
          <w:sz w:val="32"/>
          <w:szCs w:val="32"/>
        </w:rPr>
        <w:t>单价50万元以上通用设备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台（套），单位价值100万元以上专用设备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台（套）</w:t>
      </w:r>
      <w:r>
        <w:rPr>
          <w:rFonts w:hint="eastAsia" w:ascii="仿宋_GB2312" w:hAnsi="宋体" w:eastAsia="仿宋_GB2312" w:cs="仿宋_GB2312"/>
          <w:sz w:val="32"/>
          <w:szCs w:val="32"/>
        </w:rPr>
        <w:t>。</w:t>
      </w:r>
    </w:p>
    <w:p>
      <w:pPr>
        <w:widowControl/>
        <w:spacing w:line="590" w:lineRule="exact"/>
        <w:ind w:firstLine="624" w:firstLineChars="200"/>
        <w:jc w:val="left"/>
        <w:rPr>
          <w:rFonts w:ascii="仿宋_GB2312" w:hAnsi="仿宋_GB2312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（五）关于预算部门构成说明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590" w:lineRule="exact"/>
        <w:ind w:firstLine="624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2019</w:t>
      </w:r>
      <w:r>
        <w:rPr>
          <w:rFonts w:hint="eastAsia" w:ascii="仿宋_GB2312" w:hAnsi="仿宋_GB2312" w:eastAsia="仿宋_GB2312" w:cs="仿宋_GB2312"/>
          <w:sz w:val="32"/>
          <w:szCs w:val="32"/>
        </w:rPr>
        <w:t>年我单位按照市财政预算公开要求，将所属预算单位全部纳入预算公开范围。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590" w:lineRule="exact"/>
        <w:ind w:firstLine="624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590" w:lineRule="exact"/>
        <w:ind w:firstLine="624" w:firstLineChars="200"/>
        <w:rPr>
          <w:rFonts w:ascii="仿宋_GB2312" w:hAnsi="仿宋_GB2312" w:eastAsia="仿宋_GB2312" w:cs="仿宋_GB2312"/>
          <w:b/>
          <w:kern w:val="0"/>
          <w:sz w:val="32"/>
          <w:szCs w:val="32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590" w:lineRule="exact"/>
        <w:ind w:firstLine="624" w:firstLineChars="200"/>
        <w:rPr>
          <w:rFonts w:ascii="仿宋_GB2312" w:hAnsi="仿宋_GB2312" w:eastAsia="仿宋_GB2312" w:cs="仿宋_GB2312"/>
          <w:b/>
          <w:kern w:val="0"/>
          <w:sz w:val="32"/>
          <w:szCs w:val="32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590" w:lineRule="exact"/>
        <w:ind w:firstLine="624" w:firstLineChars="200"/>
        <w:rPr>
          <w:rFonts w:ascii="仿宋_GB2312" w:hAnsi="仿宋_GB2312" w:eastAsia="仿宋_GB2312" w:cs="仿宋_GB2312"/>
          <w:b/>
          <w:kern w:val="0"/>
          <w:sz w:val="32"/>
          <w:szCs w:val="32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590" w:lineRule="exact"/>
        <w:ind w:firstLine="624" w:firstLineChars="200"/>
        <w:rPr>
          <w:rFonts w:ascii="仿宋_GB2312" w:hAnsi="仿宋_GB2312" w:eastAsia="仿宋_GB2312" w:cs="仿宋_GB2312"/>
          <w:b/>
          <w:kern w:val="0"/>
          <w:sz w:val="32"/>
          <w:szCs w:val="32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590" w:lineRule="exact"/>
        <w:ind w:firstLine="624" w:firstLineChars="200"/>
        <w:rPr>
          <w:rFonts w:ascii="仿宋_GB2312" w:hAnsi="仿宋_GB2312" w:eastAsia="仿宋_GB2312" w:cs="仿宋_GB2312"/>
          <w:b/>
          <w:kern w:val="0"/>
          <w:sz w:val="32"/>
          <w:szCs w:val="32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590" w:lineRule="exact"/>
        <w:ind w:firstLine="624" w:firstLineChars="200"/>
        <w:rPr>
          <w:rFonts w:ascii="仿宋_GB2312" w:hAnsi="仿宋_GB2312" w:eastAsia="仿宋_GB2312" w:cs="仿宋_GB2312"/>
          <w:b/>
          <w:kern w:val="0"/>
          <w:sz w:val="32"/>
          <w:szCs w:val="32"/>
        </w:rPr>
      </w:pPr>
    </w:p>
    <w:p>
      <w:pPr>
        <w:adjustRightInd w:val="0"/>
        <w:snapToGrid w:val="0"/>
        <w:spacing w:line="590" w:lineRule="exact"/>
        <w:jc w:val="center"/>
        <w:rPr>
          <w:rFonts w:ascii="方正小标宋简体" w:hAnsi="仿宋_GB2312" w:eastAsia="方正小标宋简体" w:cs="仿宋_GB2312"/>
          <w:sz w:val="44"/>
          <w:szCs w:val="44"/>
        </w:rPr>
      </w:pPr>
    </w:p>
    <w:p>
      <w:pPr>
        <w:adjustRightInd w:val="0"/>
        <w:snapToGrid w:val="0"/>
        <w:spacing w:line="590" w:lineRule="exact"/>
        <w:jc w:val="center"/>
        <w:rPr>
          <w:rFonts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第三部分 名词解释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590" w:lineRule="exact"/>
        <w:ind w:firstLine="624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590" w:lineRule="exact"/>
        <w:ind w:firstLine="624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一、财政拨款收入：是指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县</w:t>
      </w:r>
      <w:r>
        <w:rPr>
          <w:rFonts w:hint="eastAsia" w:ascii="仿宋_GB2312" w:hAnsi="仿宋_GB2312" w:eastAsia="仿宋_GB2312" w:cs="仿宋_GB2312"/>
          <w:sz w:val="32"/>
          <w:szCs w:val="32"/>
        </w:rPr>
        <w:t>级财政当年拨付的资金。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590" w:lineRule="exact"/>
        <w:ind w:firstLine="624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二、事业收入：是指事业单位开展专业活动及辅助活动所取 得的收入。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590" w:lineRule="exact"/>
        <w:ind w:firstLine="624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三、其他收入：是指部门取得的除“财政拨款”、“事业收入”、“事业单位经营收入”等以外的收入。 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590" w:lineRule="exact"/>
        <w:ind w:firstLine="624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四、基本支出：是指为保障机构正常运转、完成日常工作任务所必需的开支，其内容包括人员经费和日常公用经费两部分。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590" w:lineRule="exact"/>
        <w:ind w:firstLine="624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五、项目支出：是指在基本支出之外，为完成特定的行政工作任务或事业发展目标所发生的支出。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590" w:lineRule="exact"/>
        <w:ind w:firstLine="624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“三公”经费：是指纳入市级财政预算管理，部门使用财政拨款安排的因公出国（境）费、公务用车购置及运行费和公务接待费。其中，因公出国（境）费反映单位公务出国（境）的住宿费、旅费、伙食补助费、杂费、培训费等支出；公务用车购置及运行费反映单位公务用车购置费及租用费、燃料费、维修费、过路过桥费、保险费、安全奖励费用等支出；公务接待费反映单位按规定开支的各类公务接待（含外宾接待）支出。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590" w:lineRule="exact"/>
        <w:ind w:firstLine="624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七、机关运行经费：是指为保障行政</w:t>
      </w:r>
      <w:r>
        <w:rPr>
          <w:rFonts w:hint="eastAsia" w:ascii="仿宋_GB2312" w:hAnsi="仿宋_GB2312" w:eastAsia="仿宋_GB2312" w:cs="仿宋_GB2312"/>
          <w:sz w:val="32"/>
          <w:szCs w:val="32"/>
        </w:rPr>
        <w:t>机构正常运转及正常履职需要的办公费、水电费、日常维修、物业费、维修费、差旅费、</w:t>
      </w:r>
      <w:r>
        <w:rPr>
          <w:rFonts w:hint="eastAsia" w:ascii="仿宋_GB2312" w:hAnsi="宋体" w:eastAsia="仿宋_GB2312" w:cs="Courier New"/>
          <w:sz w:val="32"/>
          <w:szCs w:val="32"/>
        </w:rPr>
        <w:t>公务用车运行维护费以及其他费用</w:t>
      </w:r>
      <w:r>
        <w:rPr>
          <w:rFonts w:hint="eastAsia" w:ascii="仿宋_GB2312" w:hAnsi="仿宋_GB2312" w:eastAsia="仿宋_GB2312" w:cs="仿宋_GB2312"/>
          <w:sz w:val="32"/>
          <w:szCs w:val="32"/>
        </w:rPr>
        <w:t>等支出。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590" w:lineRule="exact"/>
        <w:ind w:firstLine="624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八、其他（专业性较强的需向社会做出说明的名词）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590" w:lineRule="exact"/>
        <w:ind w:firstLine="624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590" w:lineRule="exact"/>
        <w:ind w:firstLine="624" w:firstLineChars="2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附件：</w:t>
      </w:r>
      <w:r>
        <w:rPr>
          <w:rFonts w:hint="eastAsia" w:ascii="仿宋_GB2312" w:hAnsi="宋体" w:eastAsia="仿宋_GB2312" w:cs="Courier New"/>
          <w:b/>
          <w:bCs/>
          <w:sz w:val="32"/>
          <w:szCs w:val="32"/>
          <w:lang w:val="en-US" w:eastAsia="zh-CN"/>
        </w:rPr>
        <w:t>南乐县委党校</w:t>
      </w:r>
      <w:r>
        <w:rPr>
          <w:rFonts w:hint="eastAsia" w:ascii="仿宋_GB2312" w:hAnsi="宋体" w:eastAsia="仿宋_GB2312" w:cs="Courier New"/>
          <w:b/>
          <w:bCs/>
          <w:sz w:val="32"/>
          <w:szCs w:val="32"/>
          <w:lang w:eastAsia="zh-CN"/>
        </w:rPr>
        <w:t>2019</w:t>
      </w:r>
      <w:r>
        <w:rPr>
          <w:rFonts w:hint="eastAsia" w:ascii="仿宋_GB2312" w:hAnsi="宋体" w:eastAsia="仿宋_GB2312" w:cs="Courier New"/>
          <w:b/>
          <w:bCs/>
          <w:sz w:val="32"/>
          <w:szCs w:val="32"/>
        </w:rPr>
        <w:t>年度部门预算表</w:t>
      </w:r>
    </w:p>
    <w:p>
      <w:pPr>
        <w:adjustRightInd w:val="0"/>
        <w:snapToGrid w:val="0"/>
        <w:spacing w:line="590" w:lineRule="exact"/>
        <w:ind w:firstLine="624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2154" w:right="1474" w:bottom="1757" w:left="1587" w:header="851" w:footer="992" w:gutter="0"/>
      <w:cols w:space="0" w:num="1"/>
      <w:docGrid w:type="linesAndChars" w:linePitch="312" w:charSpace="-18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9CC58BB"/>
    <w:multiLevelType w:val="singleLevel"/>
    <w:tmpl w:val="F9CC58BB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5A4F2DAA"/>
    <w:multiLevelType w:val="singleLevel"/>
    <w:tmpl w:val="5A4F2DAA"/>
    <w:lvl w:ilvl="0" w:tentative="0">
      <w:start w:val="1"/>
      <w:numFmt w:val="chineseCounting"/>
      <w:suff w:val="nothing"/>
      <w:lvlText w:val="（%1）"/>
      <w:lvlJc w:val="left"/>
      <w:rPr>
        <w:rFonts w:hint="eastAsia"/>
        <w:b/>
        <w:bCs/>
      </w:rPr>
    </w:lvl>
  </w:abstractNum>
  <w:abstractNum w:abstractNumId="2">
    <w:nsid w:val="5A796DEC"/>
    <w:multiLevelType w:val="singleLevel"/>
    <w:tmpl w:val="5A796DEC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1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DD26A9"/>
    <w:rsid w:val="00010CB3"/>
    <w:rsid w:val="002D363C"/>
    <w:rsid w:val="00314E2E"/>
    <w:rsid w:val="003B6EEF"/>
    <w:rsid w:val="004004DB"/>
    <w:rsid w:val="004106B6"/>
    <w:rsid w:val="00655076"/>
    <w:rsid w:val="007B0E3C"/>
    <w:rsid w:val="008904E1"/>
    <w:rsid w:val="00917E00"/>
    <w:rsid w:val="00964446"/>
    <w:rsid w:val="00B24E91"/>
    <w:rsid w:val="00C014F8"/>
    <w:rsid w:val="00C06F25"/>
    <w:rsid w:val="00C72798"/>
    <w:rsid w:val="00C86003"/>
    <w:rsid w:val="00CF7164"/>
    <w:rsid w:val="00DC086B"/>
    <w:rsid w:val="00E20BBA"/>
    <w:rsid w:val="00E365D0"/>
    <w:rsid w:val="00EE4AB2"/>
    <w:rsid w:val="00F3603A"/>
    <w:rsid w:val="016E7000"/>
    <w:rsid w:val="05474990"/>
    <w:rsid w:val="07B27637"/>
    <w:rsid w:val="09765BCB"/>
    <w:rsid w:val="0BFC12C2"/>
    <w:rsid w:val="0D0D31F5"/>
    <w:rsid w:val="1121729F"/>
    <w:rsid w:val="1272042A"/>
    <w:rsid w:val="13DF2EB8"/>
    <w:rsid w:val="14E074A9"/>
    <w:rsid w:val="16642DE9"/>
    <w:rsid w:val="170A3FC4"/>
    <w:rsid w:val="17591265"/>
    <w:rsid w:val="17D57E9B"/>
    <w:rsid w:val="1980793F"/>
    <w:rsid w:val="1E686BA5"/>
    <w:rsid w:val="20770ABE"/>
    <w:rsid w:val="20DD26A9"/>
    <w:rsid w:val="24EF5C58"/>
    <w:rsid w:val="262C0377"/>
    <w:rsid w:val="263C153C"/>
    <w:rsid w:val="2BBF51C9"/>
    <w:rsid w:val="2C4172CD"/>
    <w:rsid w:val="2D97621C"/>
    <w:rsid w:val="2DCA214F"/>
    <w:rsid w:val="30262645"/>
    <w:rsid w:val="37590B63"/>
    <w:rsid w:val="378509F5"/>
    <w:rsid w:val="38FD2F8F"/>
    <w:rsid w:val="39841043"/>
    <w:rsid w:val="3ACD08DD"/>
    <w:rsid w:val="3C73088A"/>
    <w:rsid w:val="3F7C19DA"/>
    <w:rsid w:val="3FE2641C"/>
    <w:rsid w:val="3FF40515"/>
    <w:rsid w:val="4011385D"/>
    <w:rsid w:val="40442497"/>
    <w:rsid w:val="41FF356C"/>
    <w:rsid w:val="44BA6193"/>
    <w:rsid w:val="4BC00A7C"/>
    <w:rsid w:val="4CF90D0C"/>
    <w:rsid w:val="4D662DC1"/>
    <w:rsid w:val="4E046F84"/>
    <w:rsid w:val="4F6B6E82"/>
    <w:rsid w:val="51605BFD"/>
    <w:rsid w:val="52E0623F"/>
    <w:rsid w:val="58A1343C"/>
    <w:rsid w:val="593E4BF5"/>
    <w:rsid w:val="5966555F"/>
    <w:rsid w:val="59C041CB"/>
    <w:rsid w:val="59CE6BB5"/>
    <w:rsid w:val="5C682E60"/>
    <w:rsid w:val="5D567DE5"/>
    <w:rsid w:val="5E4E29D4"/>
    <w:rsid w:val="5FB86371"/>
    <w:rsid w:val="5FC5627C"/>
    <w:rsid w:val="61A70E01"/>
    <w:rsid w:val="67545B2D"/>
    <w:rsid w:val="68697BD4"/>
    <w:rsid w:val="69437D6C"/>
    <w:rsid w:val="6B287B0E"/>
    <w:rsid w:val="6E35646A"/>
    <w:rsid w:val="6EA86553"/>
    <w:rsid w:val="70C2560E"/>
    <w:rsid w:val="711E0931"/>
    <w:rsid w:val="78093E65"/>
    <w:rsid w:val="7BEB39B7"/>
    <w:rsid w:val="7F483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Calibri" w:hAnsi="Calibr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Calibri" w:hAnsi="Calibr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Www.SangSan.Cn</Company>
  <Pages>9</Pages>
  <Words>436</Words>
  <Characters>2487</Characters>
  <Lines>20</Lines>
  <Paragraphs>5</Paragraphs>
  <TotalTime>2</TotalTime>
  <ScaleCrop>false</ScaleCrop>
  <LinksUpToDate>false</LinksUpToDate>
  <CharactersWithSpaces>2918</CharactersWithSpaces>
  <Application>WPS Office_11.1.0.10379_F1E327BC-269C-435d-A152-05C5408002CA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2018-01-04T09:29:00Z</dcterms:created>
  <dc:creator>Administrator</dc:creator>
  <cp:lastModifiedBy>跳跳糖</cp:lastModifiedBy>
  <cp:lastPrinted>2020-01-01T07:55:00Z</cp:lastPrinted>
  <dcterms:modified xsi:type="dcterms:W3CDTF">2021-06-10T06:31:15Z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2052-11.1.0.10379</vt:lpwstr>
  </property>
  <property fmtid="{D5CDD505-2E9C-101B-9397-08002B2CF9AE}" pid="3" name="ICV">
    <vt:lpwstr>829F211FE52F431F9008F84E1F144A72</vt:lpwstr>
  </property>
</Properties>
</file>