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r>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t>南乐县信访局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r>
        <w:rPr>
          <w:rFonts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t>201</w:t>
      </w:r>
      <w:r>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t>9年度部门预算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insoku w:val="0"/>
        <w:overflowPunct w:val="0"/>
        <w:adjustRightInd w:val="0"/>
        <w:snapToGrid w:val="0"/>
        <w:spacing w:line="360" w:lineRule="auto"/>
        <w:ind w:left="-142" w:right="51" w:firstLine="25" w:firstLineChars="7"/>
        <w:jc w:val="center"/>
        <w:rPr>
          <w:rFonts w:hint="default" w:ascii="黑体" w:hAnsi="Times New Roman" w:eastAsia="黑体" w:cs="黑体"/>
          <w:sz w:val="36"/>
          <w:szCs w:val="36"/>
          <w:lang w:val="en-US" w:eastAsia="zh-CN"/>
        </w:rPr>
      </w:pPr>
      <w:r>
        <w:rPr>
          <w:rFonts w:hint="eastAsia" w:ascii="黑体" w:hAnsi="Times New Roman" w:eastAsia="黑体" w:cs="黑体"/>
          <w:sz w:val="36"/>
          <w:szCs w:val="36"/>
          <w:lang w:val="en-US" w:eastAsia="zh-CN"/>
        </w:rPr>
        <w:t>2019年4月4日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方正小标宋简体" w:hAnsi="方正小标宋简体" w:eastAsia="方正小标宋简体" w:cs="方正小标宋简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101" w:right="3569"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ascii="仿宋_GB2312" w:hAnsi="微软雅黑" w:eastAsia="仿宋_GB2312" w:cs="仿宋_GB2312"/>
          <w:i w:val="0"/>
          <w:iCs w:val="0"/>
          <w:caps w:val="0"/>
          <w:snapToGrid w:val="0"/>
          <w:color w:val="333333"/>
          <w:spacing w:val="10"/>
          <w:kern w:val="0"/>
          <w:sz w:val="32"/>
          <w:szCs w:val="32"/>
          <w:vertAlign w:val="baseline"/>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142" w:right="51" w:firstLine="39"/>
        <w:jc w:val="center"/>
        <w:textAlignment w:val="baseline"/>
        <w:rPr>
          <w:rFonts w:hint="eastAsia" w:ascii="微软雅黑" w:hAnsi="微软雅黑" w:eastAsia="微软雅黑" w:cs="微软雅黑"/>
          <w:i w:val="0"/>
          <w:iCs w:val="0"/>
          <w:caps w:val="0"/>
          <w:snapToGrid w:val="0"/>
          <w:color w:val="333333"/>
          <w:spacing w:val="10"/>
          <w:kern w:val="0"/>
          <w:sz w:val="18"/>
          <w:szCs w:val="18"/>
        </w:rPr>
      </w:pPr>
      <w:r>
        <w:rPr>
          <w:rFonts w:ascii="黑体" w:hAnsi="宋体" w:eastAsia="黑体" w:cs="黑体"/>
          <w:i w:val="0"/>
          <w:iCs w:val="0"/>
          <w:caps w:val="0"/>
          <w:snapToGrid w:val="0"/>
          <w:color w:val="333333"/>
          <w:spacing w:val="10"/>
          <w:kern w:val="0"/>
          <w:sz w:val="44"/>
          <w:szCs w:val="44"/>
          <w:vertAlign w:val="baseline"/>
          <w:lang w:val="en-US" w:eastAsia="zh-CN" w:bidi="ar"/>
        </w:rPr>
        <w:t>目</w:t>
      </w:r>
      <w:r>
        <w:rPr>
          <w:rFonts w:hint="eastAsia" w:ascii="黑体" w:hAnsi="宋体" w:eastAsia="黑体" w:cs="黑体"/>
          <w:i w:val="0"/>
          <w:iCs w:val="0"/>
          <w:caps w:val="0"/>
          <w:snapToGrid w:val="0"/>
          <w:color w:val="333333"/>
          <w:spacing w:val="10"/>
          <w:kern w:val="0"/>
          <w:sz w:val="44"/>
          <w:szCs w:val="44"/>
          <w:vertAlign w:val="baseline"/>
          <w:lang w:val="en-US" w:eastAsia="zh-CN" w:bidi="ar"/>
        </w:rPr>
        <w:t> 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26"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第一部分 南乐县信访局概况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26"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ascii="仿宋" w:hAnsi="仿宋" w:eastAsia="仿宋" w:cs="仿宋"/>
          <w:i w:val="0"/>
          <w:iCs w:val="0"/>
          <w:caps w:val="0"/>
          <w:snapToGrid w:val="0"/>
          <w:color w:val="333333"/>
          <w:spacing w:val="10"/>
          <w:kern w:val="0"/>
          <w:sz w:val="32"/>
          <w:szCs w:val="32"/>
          <w:vertAlign w:val="baseline"/>
          <w:lang w:val="en-US" w:eastAsia="zh-CN" w:bidi="ar"/>
        </w:rPr>
        <w:t>一、主要职能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26"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二、部门决算单位构成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26"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第二部分 南乐县信访局2019年度部门预算情况说明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26"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第三部分 名词解释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26"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附件： 南乐县信访局2019年度部门预算表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26"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一、收入支出总体情况表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26"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二、收入总体情况表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26"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三、支出总体情况表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26"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四、财政拨款收入支出总体情况表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26"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五、一般公共预算财政拨款支出情况表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26"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六、一般公共预算财政拨款基本支出情况表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26"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七、一般公共预算财政拨款“三公”经费支出情况表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26"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八、政府性基金预算财政拨款收入支出情况表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51"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九、国有资本经营预算支出情况表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center"/>
        <w:textAlignment w:val="baseline"/>
        <w:rPr>
          <w:rFonts w:hint="eastAsia" w:ascii="黑体" w:hAnsi="宋体" w:eastAsia="黑体" w:cs="黑体"/>
          <w:i w:val="0"/>
          <w:iCs w:val="0"/>
          <w:caps w:val="0"/>
          <w:snapToGrid w:val="0"/>
          <w:color w:val="333333"/>
          <w:spacing w:val="10"/>
          <w:kern w:val="0"/>
          <w:sz w:val="44"/>
          <w:szCs w:val="44"/>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center"/>
        <w:textAlignment w:val="baseline"/>
        <w:rPr>
          <w:rFonts w:hint="eastAsia" w:ascii="微软雅黑" w:hAnsi="微软雅黑" w:eastAsia="微软雅黑" w:cs="微软雅黑"/>
          <w:i w:val="0"/>
          <w:iCs w:val="0"/>
          <w:caps w:val="0"/>
          <w:snapToGrid w:val="0"/>
          <w:color w:val="333333"/>
          <w:spacing w:val="10"/>
          <w:kern w:val="0"/>
          <w:sz w:val="44"/>
          <w:szCs w:val="44"/>
        </w:rPr>
      </w:pPr>
      <w:r>
        <w:rPr>
          <w:rFonts w:hint="eastAsia" w:ascii="黑体" w:hAnsi="宋体" w:eastAsia="黑体" w:cs="黑体"/>
          <w:i w:val="0"/>
          <w:iCs w:val="0"/>
          <w:caps w:val="0"/>
          <w:snapToGrid w:val="0"/>
          <w:color w:val="333333"/>
          <w:spacing w:val="10"/>
          <w:kern w:val="0"/>
          <w:sz w:val="44"/>
          <w:szCs w:val="44"/>
          <w:vertAlign w:val="baseline"/>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微软雅黑" w:hAnsi="微软雅黑" w:eastAsia="微软雅黑" w:cs="微软雅黑"/>
          <w:i w:val="0"/>
          <w:iCs w:val="0"/>
          <w:caps w:val="0"/>
          <w:snapToGrid w:val="0"/>
          <w:color w:val="333333"/>
          <w:spacing w:val="10"/>
          <w:kern w:val="0"/>
          <w:sz w:val="44"/>
          <w:szCs w:val="44"/>
        </w:rPr>
      </w:pPr>
      <w:r>
        <w:rPr>
          <w:rFonts w:hint="eastAsia" w:ascii="黑体" w:hAnsi="宋体" w:eastAsia="黑体" w:cs="黑体"/>
          <w:i w:val="0"/>
          <w:iCs w:val="0"/>
          <w:caps w:val="0"/>
          <w:snapToGrid w:val="0"/>
          <w:color w:val="333333"/>
          <w:spacing w:val="10"/>
          <w:kern w:val="0"/>
          <w:sz w:val="44"/>
          <w:szCs w:val="44"/>
          <w:vertAlign w:val="baseline"/>
          <w:lang w:val="en-US" w:eastAsia="zh-CN" w:bidi="ar"/>
        </w:rPr>
        <w:t>第一部分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微软雅黑" w:hAnsi="微软雅黑" w:eastAsia="微软雅黑" w:cs="微软雅黑"/>
          <w:i w:val="0"/>
          <w:iCs w:val="0"/>
          <w:caps w:val="0"/>
          <w:snapToGrid w:val="0"/>
          <w:color w:val="333333"/>
          <w:spacing w:val="10"/>
          <w:kern w:val="0"/>
          <w:sz w:val="44"/>
          <w:szCs w:val="44"/>
        </w:rPr>
      </w:pPr>
      <w:r>
        <w:rPr>
          <w:rFonts w:hint="eastAsia" w:ascii="黑体" w:hAnsi="宋体" w:eastAsia="黑体" w:cs="黑体"/>
          <w:i w:val="0"/>
          <w:iCs w:val="0"/>
          <w:caps w:val="0"/>
          <w:snapToGrid w:val="0"/>
          <w:color w:val="333333"/>
          <w:spacing w:val="10"/>
          <w:kern w:val="0"/>
          <w:sz w:val="44"/>
          <w:szCs w:val="44"/>
          <w:vertAlign w:val="baseline"/>
          <w:lang w:val="en-US" w:eastAsia="zh-CN" w:bidi="ar"/>
        </w:rPr>
        <w:t>南乐县信访局概况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center"/>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 </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10" w:leftChars="0" w:right="0" w:firstLine="629" w:firstLineChars="185"/>
        <w:jc w:val="left"/>
        <w:textAlignment w:val="baseline"/>
        <w:rPr>
          <w:rFonts w:hint="eastAsia" w:ascii="黑体" w:hAnsi="宋体" w:eastAsia="黑体" w:cs="黑体"/>
          <w:i w:val="0"/>
          <w:iCs w:val="0"/>
          <w:caps w:val="0"/>
          <w:snapToGrid w:val="0"/>
          <w:color w:val="333333"/>
          <w:spacing w:val="10"/>
          <w:kern w:val="0"/>
          <w:sz w:val="32"/>
          <w:szCs w:val="32"/>
          <w:vertAlign w:val="baseline"/>
          <w:lang w:val="en-US" w:eastAsia="zh-CN" w:bidi="ar"/>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主要职能</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10" w:leftChars="0" w:right="0" w:rightChars="0" w:firstLine="631" w:firstLineChars="185"/>
        <w:jc w:val="left"/>
        <w:textAlignment w:val="baseline"/>
        <w:rPr>
          <w:rFonts w:hint="eastAsia" w:ascii="仿宋" w:hAnsi="仿宋" w:eastAsia="仿宋" w:cs="仿宋"/>
          <w:b/>
          <w:bCs/>
          <w:i w:val="0"/>
          <w:iCs w:val="0"/>
          <w:caps w:val="0"/>
          <w:snapToGrid w:val="0"/>
          <w:color w:val="333333"/>
          <w:spacing w:val="10"/>
          <w:kern w:val="0"/>
          <w:sz w:val="18"/>
          <w:szCs w:val="18"/>
        </w:rPr>
      </w:pPr>
      <w:r>
        <w:rPr>
          <w:rFonts w:hint="eastAsia" w:ascii="仿宋" w:hAnsi="仿宋" w:eastAsia="仿宋" w:cs="仿宋"/>
          <w:b/>
          <w:bCs/>
          <w:i w:val="0"/>
          <w:iCs w:val="0"/>
          <w:caps w:val="0"/>
          <w:snapToGrid w:val="0"/>
          <w:color w:val="333333"/>
          <w:spacing w:val="10"/>
          <w:kern w:val="0"/>
          <w:sz w:val="32"/>
          <w:szCs w:val="32"/>
          <w:vertAlign w:val="baseline"/>
          <w:lang w:val="en-US" w:eastAsia="zh-CN" w:bidi="ar"/>
        </w:rPr>
        <w:t>（一）机构设置情况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仿宋" w:hAnsi="仿宋" w:eastAsia="仿宋" w:cs="仿宋"/>
          <w:i w:val="0"/>
          <w:iCs w:val="0"/>
          <w:caps w:val="0"/>
          <w:snapToGrid w:val="0"/>
          <w:color w:val="333333"/>
          <w:spacing w:val="10"/>
          <w:kern w:val="0"/>
          <w:sz w:val="32"/>
          <w:szCs w:val="32"/>
          <w:vertAlign w:val="baseline"/>
          <w:lang w:val="en-US" w:eastAsia="zh-CN" w:bidi="ar"/>
        </w:rPr>
      </w:pPr>
      <w:r>
        <w:rPr>
          <w:rFonts w:hint="eastAsia" w:ascii="仿宋" w:hAnsi="仿宋" w:eastAsia="仿宋" w:cs="仿宋"/>
          <w:i w:val="0"/>
          <w:iCs w:val="0"/>
          <w:caps w:val="0"/>
          <w:snapToGrid w:val="0"/>
          <w:color w:val="000000"/>
          <w:spacing w:val="10"/>
          <w:kern w:val="0"/>
          <w:sz w:val="32"/>
          <w:szCs w:val="32"/>
          <w:vertAlign w:val="baseline"/>
          <w:lang w:val="en-US" w:eastAsia="zh-CN" w:bidi="ar"/>
        </w:rPr>
        <w:t>南乐县信访局设6个内设机构：</w:t>
      </w:r>
      <w:r>
        <w:rPr>
          <w:rFonts w:hint="eastAsia" w:ascii="仿宋" w:hAnsi="仿宋" w:eastAsia="仿宋" w:cs="仿宋"/>
          <w:i w:val="0"/>
          <w:iCs w:val="0"/>
          <w:caps w:val="0"/>
          <w:snapToGrid w:val="0"/>
          <w:color w:val="333333"/>
          <w:spacing w:val="10"/>
          <w:kern w:val="0"/>
          <w:sz w:val="32"/>
          <w:szCs w:val="32"/>
          <w:vertAlign w:val="baseline"/>
          <w:lang w:val="en-US" w:eastAsia="zh-CN" w:bidi="ar"/>
        </w:rPr>
        <w:t>办公室、复查复核室、办信催查股、接访协调股、信访信息股、群众来访接待服务中心。南乐县信访局机关行政编制13名。其中局长1名，副局长2名，部门其他领导3名，一般人员7名。机关工勤编制2名。核定事业编制5名，经费实行全额预算管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default" w:ascii="仿宋" w:hAnsi="仿宋" w:eastAsia="仿宋" w:cs="仿宋"/>
          <w:b/>
          <w:bCs/>
          <w:i w:val="0"/>
          <w:iCs w:val="0"/>
          <w:caps w:val="0"/>
          <w:snapToGrid w:val="0"/>
          <w:color w:val="333333"/>
          <w:spacing w:val="10"/>
          <w:kern w:val="0"/>
          <w:sz w:val="32"/>
          <w:szCs w:val="32"/>
          <w:vertAlign w:val="baseline"/>
          <w:lang w:val="en-US" w:eastAsia="zh-CN" w:bidi="ar"/>
        </w:rPr>
      </w:pPr>
      <w:r>
        <w:rPr>
          <w:rFonts w:hint="eastAsia" w:ascii="仿宋" w:hAnsi="仿宋" w:eastAsia="仿宋" w:cs="仿宋"/>
          <w:b/>
          <w:bCs/>
          <w:i w:val="0"/>
          <w:iCs w:val="0"/>
          <w:caps w:val="0"/>
          <w:snapToGrid w:val="0"/>
          <w:color w:val="333333"/>
          <w:spacing w:val="10"/>
          <w:kern w:val="0"/>
          <w:sz w:val="32"/>
          <w:szCs w:val="32"/>
          <w:vertAlign w:val="baseline"/>
          <w:lang w:val="en-US" w:eastAsia="zh-CN" w:bidi="ar"/>
        </w:rPr>
        <w:t>（二）部门职责</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1.贯彻落实中央、省委、市委、县委关于群众信访工作的决策部署，对党委致富信访工作责任制履行情况和信访工作的执行情况进行定期检查。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2.及时化解人民内部矛盾、组织开展矛盾纠纷排查调处工作。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3.拟定全县有关信访工作的政策规定，并负责组织实施。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4.受理人民群众来信，接待群众来访，联系县级领导干部接待群众来访；为来信、来访群众提供有关法律、法规和政策咨询服务。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5.承办上级机关和县委、县政府领导交办的信访事项，督促检查领导同志有关批示件的落实情况；向有关单位交办信访事项，督促检查重要信访事项的处理和落实；审结要结果案件。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6.协调处理跨乡镇跨部门的重要信访、群众赴市以上集体上访、来县上访和突发上访事件；对重要案件事实个案监督，并提出对有关责任人的处理意见和建议。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7.分析研究信访工作形式，征集人民群众建议，及时向县委、县政府提供信访信息，并对重要问题提出意见和建议、对引发重大信访问题的责任单位及责任人提出责任追究建议。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仿宋" w:hAnsi="仿宋" w:eastAsia="仿宋" w:cs="仿宋"/>
          <w:i w:val="0"/>
          <w:iCs w:val="0"/>
          <w:caps w:val="0"/>
          <w:snapToGrid w:val="0"/>
          <w:color w:val="333333"/>
          <w:spacing w:val="10"/>
          <w:kern w:val="0"/>
          <w:sz w:val="32"/>
          <w:szCs w:val="32"/>
          <w:vertAlign w:val="baseline"/>
          <w:lang w:val="en-US" w:eastAsia="zh-CN" w:bidi="ar"/>
        </w:rPr>
        <w:t>8.承办县委、县政府交办的其他工作。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黑体" w:hAnsi="黑体" w:eastAsia="黑体" w:cs="黑体"/>
          <w:i w:val="0"/>
          <w:iCs w:val="0"/>
          <w:caps w:val="0"/>
          <w:snapToGrid w:val="0"/>
          <w:color w:val="333333"/>
          <w:spacing w:val="10"/>
          <w:kern w:val="0"/>
          <w:sz w:val="18"/>
          <w:szCs w:val="18"/>
        </w:rPr>
      </w:pPr>
      <w:r>
        <w:rPr>
          <w:rFonts w:hint="eastAsia" w:ascii="黑体" w:hAnsi="黑体" w:eastAsia="黑体" w:cs="黑体"/>
          <w:i w:val="0"/>
          <w:iCs w:val="0"/>
          <w:caps w:val="0"/>
          <w:snapToGrid w:val="0"/>
          <w:color w:val="333333"/>
          <w:spacing w:val="10"/>
          <w:kern w:val="0"/>
          <w:sz w:val="32"/>
          <w:szCs w:val="32"/>
          <w:vertAlign w:val="baseline"/>
          <w:lang w:val="en-US" w:eastAsia="zh-CN" w:bidi="ar"/>
        </w:rPr>
        <w:t>二、</w:t>
      </w:r>
      <w:r>
        <w:rPr>
          <w:rFonts w:hint="eastAsia" w:ascii="黑体" w:hAnsi="黑体" w:eastAsia="黑体" w:cs="黑体"/>
          <w:i w:val="0"/>
          <w:iCs w:val="0"/>
          <w:caps w:val="0"/>
          <w:snapToGrid w:val="0"/>
          <w:color w:val="000000"/>
          <w:spacing w:val="10"/>
          <w:kern w:val="0"/>
          <w:sz w:val="32"/>
          <w:szCs w:val="32"/>
          <w:vertAlign w:val="baseline"/>
          <w:lang w:val="en-US" w:eastAsia="zh-CN" w:bidi="ar"/>
        </w:rPr>
        <w:t>南乐县信访局</w:t>
      </w:r>
      <w:r>
        <w:rPr>
          <w:rFonts w:hint="eastAsia" w:ascii="黑体" w:hAnsi="黑体" w:eastAsia="黑体" w:cs="黑体"/>
          <w:i w:val="0"/>
          <w:iCs w:val="0"/>
          <w:caps w:val="0"/>
          <w:snapToGrid w:val="0"/>
          <w:color w:val="333333"/>
          <w:spacing w:val="10"/>
          <w:kern w:val="0"/>
          <w:sz w:val="32"/>
          <w:szCs w:val="32"/>
          <w:vertAlign w:val="baseline"/>
          <w:lang w:val="en-US" w:eastAsia="zh-CN" w:bidi="ar"/>
        </w:rPr>
        <w:t>部门预算单位构成</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225" w:afterAutospacing="0" w:line="560" w:lineRule="exact"/>
        <w:ind w:left="0" w:right="0" w:firstLine="640"/>
        <w:jc w:val="both"/>
        <w:textAlignment w:val="baseline"/>
        <w:rPr>
          <w:rFonts w:hint="default" w:ascii="Times New Roman" w:hAnsi="Times New Roman" w:eastAsia="微软雅黑" w:cs="Times New Roman"/>
          <w:i w:val="0"/>
          <w:caps w:val="0"/>
          <w:snapToGrid w:val="0"/>
          <w:color w:val="333333"/>
          <w:spacing w:val="10"/>
          <w:kern w:val="0"/>
          <w:sz w:val="27"/>
          <w:szCs w:val="27"/>
        </w:rPr>
      </w:pPr>
      <w:r>
        <w:rPr>
          <w:rFonts w:hint="default" w:ascii="Times New Roman" w:hAnsi="Times New Roman" w:eastAsia="仿宋_GB2312" w:cs="Times New Roman"/>
          <w:i w:val="0"/>
          <w:caps w:val="0"/>
          <w:snapToGrid w:val="0"/>
          <w:color w:val="333333"/>
          <w:spacing w:val="10"/>
          <w:kern w:val="0"/>
          <w:sz w:val="32"/>
          <w:szCs w:val="32"/>
          <w:vertAlign w:val="baseline"/>
          <w:lang w:val="en-US" w:eastAsia="zh-CN" w:bidi="ar"/>
        </w:rPr>
        <w:t>本部门没有独立核算的下级预算单位，部门本级预算即为汇总预算。</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微软雅黑" w:hAnsi="微软雅黑" w:eastAsia="微软雅黑" w:cs="微软雅黑"/>
          <w:i w:val="0"/>
          <w:iCs w:val="0"/>
          <w:caps w:val="0"/>
          <w:snapToGrid w:val="0"/>
          <w:color w:val="333333"/>
          <w:spacing w:val="10"/>
          <w:kern w:val="0"/>
          <w:sz w:val="44"/>
          <w:szCs w:val="44"/>
        </w:rPr>
      </w:pPr>
      <w:r>
        <w:rPr>
          <w:rFonts w:hint="eastAsia" w:ascii="黑体" w:hAnsi="宋体" w:eastAsia="黑体" w:cs="黑体"/>
          <w:i w:val="0"/>
          <w:iCs w:val="0"/>
          <w:caps w:val="0"/>
          <w:snapToGrid w:val="0"/>
          <w:color w:val="333333"/>
          <w:spacing w:val="10"/>
          <w:kern w:val="0"/>
          <w:sz w:val="44"/>
          <w:szCs w:val="44"/>
          <w:vertAlign w:val="baseline"/>
          <w:lang w:val="en-US" w:eastAsia="zh-CN" w:bidi="ar"/>
        </w:rPr>
        <w:t>第二部分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微软雅黑" w:hAnsi="微软雅黑" w:eastAsia="微软雅黑" w:cs="微软雅黑"/>
          <w:i w:val="0"/>
          <w:iCs w:val="0"/>
          <w:caps w:val="0"/>
          <w:snapToGrid w:val="0"/>
          <w:color w:val="333333"/>
          <w:spacing w:val="10"/>
          <w:kern w:val="0"/>
          <w:sz w:val="44"/>
          <w:szCs w:val="44"/>
        </w:rPr>
      </w:pPr>
      <w:r>
        <w:rPr>
          <w:rFonts w:hint="eastAsia" w:ascii="黑体" w:hAnsi="宋体" w:eastAsia="黑体" w:cs="黑体"/>
          <w:i w:val="0"/>
          <w:iCs w:val="0"/>
          <w:caps w:val="0"/>
          <w:snapToGrid w:val="0"/>
          <w:color w:val="333333"/>
          <w:spacing w:val="10"/>
          <w:kern w:val="0"/>
          <w:sz w:val="44"/>
          <w:szCs w:val="44"/>
          <w:vertAlign w:val="baseline"/>
          <w:lang w:val="en-US" w:eastAsia="zh-CN" w:bidi="ar"/>
        </w:rPr>
        <w:t>南乐县信访局2019年度部门预算情况说明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一、收入支出预算总体情况说明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both"/>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南乐县信访局2019年收入总计322.7</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7</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万元，支出总计322.7</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7</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万元，与2018年相比，收、支总计各减少33.52万元，下降9.4%。主要原因：补发在职人员调标工资、退休人员健康休养费，补缴职业年金、2014年养老制度改革后养老金差额。</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二、收入预算总体情况说明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南乐县信访局2019年收入合计322.7</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7</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万元，其中：一般公共预算322.7</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7</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三、支出预算总体情况说明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南乐县信访局2019年支出合计322.7</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7</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万元，其中：基本支出208.6</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7</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万元，占64%；项目支出114.10万元，占36%。</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四、财政拨款收入支出预算总体情况说明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both"/>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南乐县信访局2019年一般公共预算收支预算322.7</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7</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万元，政府性基金收支预算0万元。与2018年相比，一般公共预算收支预算增减少33.52万元，下降9.4%，主要原因：补发在职人员调标工资、退休人员健康休养费，补缴职业年金、2014年养老制度改革后养老金差额；政府性基金收支预算增加0万元，增长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五、一般公共预算支出预算情况说明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both"/>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南乐县信访局2019年一般公共预算支出年初预算为322.7</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7</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万元。主要用于以下方面：一般公共服务（类）支出282.72万元，占87%；社会保障和就业支出22.9</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2</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万元，占7%；医疗卫生与计划生育支出5.</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50</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万元，占2%；住房保障（类）支出11.63万元，占4%。</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六、一般公共预算基本支出预算情况说明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both"/>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南乐县信访局2019年一般公共预算基本支出年初预算为208.6</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7</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万元。</w:t>
      </w:r>
      <w:r>
        <w:rPr>
          <w:rFonts w:hint="eastAsia" w:ascii="仿宋_GB2312" w:hAnsi="宋体" w:eastAsia="仿宋_GB2312" w:cs="Courier New"/>
          <w:sz w:val="32"/>
          <w:szCs w:val="32"/>
        </w:rPr>
        <w:t>主要用于以下方面：</w:t>
      </w:r>
      <w:r>
        <w:rPr>
          <w:rFonts w:hint="eastAsia" w:ascii="仿宋_GB2312" w:hAnsi="宋体" w:eastAsia="仿宋_GB2312" w:cs="Courier New"/>
          <w:b/>
          <w:bCs/>
          <w:sz w:val="32"/>
          <w:szCs w:val="32"/>
          <w:lang w:eastAsia="zh-CN"/>
        </w:rPr>
        <w:t>人员经费</w:t>
      </w:r>
      <w:r>
        <w:rPr>
          <w:rFonts w:hint="eastAsia" w:ascii="仿宋_GB2312" w:eastAsia="仿宋_GB2312"/>
          <w:b/>
          <w:bCs/>
          <w:sz w:val="32"/>
          <w:szCs w:val="32"/>
          <w:lang w:val="en-US" w:eastAsia="zh-CN"/>
        </w:rPr>
        <w:t>195.65</w:t>
      </w:r>
      <w:r>
        <w:rPr>
          <w:rFonts w:hint="eastAsia" w:ascii="仿宋_GB2312" w:hAnsi="宋体" w:eastAsia="仿宋_GB2312" w:cs="Courier New"/>
          <w:b/>
          <w:bCs/>
          <w:sz w:val="32"/>
          <w:szCs w:val="32"/>
        </w:rPr>
        <w:t>万元</w:t>
      </w:r>
      <w:r>
        <w:rPr>
          <w:rFonts w:hint="eastAsia" w:ascii="仿宋_GB2312" w:hAnsi="宋体" w:eastAsia="仿宋_GB2312" w:cs="Courier New"/>
          <w:sz w:val="32"/>
          <w:szCs w:val="32"/>
        </w:rPr>
        <w:t>；</w:t>
      </w:r>
      <w:r>
        <w:rPr>
          <w:rFonts w:hint="eastAsia" w:ascii="仿宋_GB2312" w:hAnsi="仿宋_GB2312" w:eastAsia="仿宋_GB2312" w:cs="仿宋_GB2312"/>
          <w:kern w:val="0"/>
          <w:sz w:val="32"/>
          <w:szCs w:val="32"/>
          <w:highlight w:val="none"/>
        </w:rPr>
        <w:t>主要包括：</w:t>
      </w:r>
      <w:r>
        <w:rPr>
          <w:rFonts w:hint="eastAsia" w:ascii="仿宋_GB2312" w:hAnsi="仿宋_GB2312" w:eastAsia="仿宋_GB2312" w:cs="仿宋_GB2312"/>
          <w:kern w:val="0"/>
          <w:sz w:val="32"/>
          <w:szCs w:val="32"/>
        </w:rPr>
        <w:t>基本工资、津贴补贴、奖金、绩效工资、机关事业单位基本养老保险缴费、职业年金缴费、医疗保险缴</w:t>
      </w:r>
      <w:bookmarkStart w:id="0" w:name="_GoBack"/>
      <w:bookmarkEnd w:id="0"/>
      <w:r>
        <w:rPr>
          <w:rFonts w:hint="eastAsia" w:ascii="仿宋_GB2312" w:hAnsi="仿宋_GB2312" w:eastAsia="仿宋_GB2312" w:cs="仿宋_GB2312"/>
          <w:kern w:val="0"/>
          <w:sz w:val="32"/>
          <w:szCs w:val="32"/>
        </w:rPr>
        <w:t>费、其他社会保障缴费、住房公积金、其他工资福利支出、离休费、退休费、其他对个人和家庭的补助支出；</w:t>
      </w:r>
      <w:r>
        <w:rPr>
          <w:rFonts w:hint="eastAsia" w:ascii="仿宋_GB2312" w:hAnsi="宋体" w:eastAsia="仿宋_GB2312" w:cs="Courier New"/>
          <w:b/>
          <w:bCs/>
          <w:sz w:val="32"/>
          <w:szCs w:val="32"/>
          <w:lang w:eastAsia="zh-CN"/>
        </w:rPr>
        <w:t>公用经费</w:t>
      </w:r>
      <w:r>
        <w:rPr>
          <w:rFonts w:hint="eastAsia" w:ascii="仿宋_GB2312" w:hAnsi="宋体" w:eastAsia="仿宋_GB2312" w:cs="Courier New"/>
          <w:b/>
          <w:bCs/>
          <w:sz w:val="32"/>
          <w:szCs w:val="32"/>
          <w:lang w:val="en-US" w:eastAsia="zh-CN"/>
        </w:rPr>
        <w:t>13.02</w:t>
      </w:r>
      <w:r>
        <w:rPr>
          <w:rFonts w:hint="eastAsia" w:ascii="仿宋_GB2312" w:hAnsi="宋体" w:eastAsia="仿宋_GB2312" w:cs="Courier New"/>
          <w:b/>
          <w:bCs/>
          <w:sz w:val="32"/>
          <w:szCs w:val="32"/>
        </w:rPr>
        <w:t>万元</w:t>
      </w:r>
      <w:r>
        <w:rPr>
          <w:rFonts w:hint="eastAsia" w:ascii="仿宋_GB2312" w:hAnsi="宋体" w:eastAsia="仿宋_GB2312" w:cs="Courier New"/>
          <w:sz w:val="32"/>
          <w:szCs w:val="32"/>
          <w:lang w:eastAsia="zh-CN"/>
        </w:rPr>
        <w:t>，</w:t>
      </w:r>
      <w:r>
        <w:rPr>
          <w:rFonts w:hint="eastAsia" w:ascii="仿宋_GB2312" w:hAnsi="仿宋_GB2312" w:eastAsia="仿宋_GB2312" w:cs="仿宋_GB2312"/>
          <w:kern w:val="0"/>
          <w:sz w:val="32"/>
          <w:szCs w:val="32"/>
        </w:rPr>
        <w:t>主要包括：办公费、印刷费、邮电费、差旅费、会议费、公务接待费、其他交通费用</w:t>
      </w:r>
      <w:r>
        <w:rPr>
          <w:rFonts w:hint="eastAsia" w:ascii="仿宋_GB2312" w:hAnsi="仿宋_GB2312" w:eastAsia="仿宋_GB2312" w:cs="仿宋_GB2312"/>
          <w:kern w:val="0"/>
          <w:sz w:val="32"/>
          <w:szCs w:val="32"/>
          <w:lang w:eastAsia="zh-CN"/>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七、“三公”经费支出预算情况说明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我局2019年“三公”经费预算为2.07万元。比2018年减少1.93万元</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，下降45.25%</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具体支出情况如下：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39"/>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b/>
          <w:bCs/>
          <w:i w:val="0"/>
          <w:iCs w:val="0"/>
          <w:caps w:val="0"/>
          <w:snapToGrid w:val="0"/>
          <w:color w:val="333333"/>
          <w:spacing w:val="10"/>
          <w:kern w:val="0"/>
          <w:sz w:val="32"/>
          <w:szCs w:val="32"/>
          <w:vertAlign w:val="baseline"/>
          <w:lang w:val="en-US" w:eastAsia="zh-CN" w:bidi="ar"/>
        </w:rPr>
        <w:t>（一）因公出国（境）费</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0万元，主要用于单位工作人员公务出国（境）的住宿费、旅费、伙食补助费、杂费、培训费等支出。预算数与2018年持平。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39"/>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b/>
          <w:bCs/>
          <w:i w:val="0"/>
          <w:iCs w:val="0"/>
          <w:caps w:val="0"/>
          <w:snapToGrid w:val="0"/>
          <w:color w:val="333333"/>
          <w:spacing w:val="10"/>
          <w:kern w:val="0"/>
          <w:sz w:val="32"/>
          <w:szCs w:val="32"/>
          <w:vertAlign w:val="baseline"/>
          <w:lang w:val="en-US" w:eastAsia="zh-CN" w:bidi="ar"/>
        </w:rPr>
        <w:t>（二）公务用车购置及运行费</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1万元，其中，公务用车购置费0万元</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，与</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2018年</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持平，增长0%</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；公务用车运行维护费1万元，主要用于开展工作所需公务用车的燃料费、维修费、过路过桥费、保险费、安全奖励费用等支出</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比2018年减少2万元，</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下降66.67%，</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主要原因：公务用车减少。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39"/>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b/>
          <w:bCs/>
          <w:i w:val="0"/>
          <w:iCs w:val="0"/>
          <w:caps w:val="0"/>
          <w:snapToGrid w:val="0"/>
          <w:color w:val="333333"/>
          <w:spacing w:val="10"/>
          <w:kern w:val="0"/>
          <w:sz w:val="32"/>
          <w:szCs w:val="32"/>
          <w:vertAlign w:val="baseline"/>
          <w:lang w:val="en-US" w:eastAsia="zh-CN" w:bidi="ar"/>
        </w:rPr>
        <w:t>（三）公务接待费</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1.07万元，主要用于按规定开支的各类公务接待（含外宾接待）支出。预算数比2018年增加0.07万元</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，增长7%</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。主要原因：信访事务增加。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八、政府性基金预算支出预算情况说明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南乐县信访局2019年没有</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使用</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政府性基金预算拨款安排的支出。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九、国有资本经营预算支出情况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南乐县信访局2019年没有国有资本经营预算拨款安排的收入和支出。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36"/>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eastAsia" w:ascii="黑体" w:hAnsi="宋体" w:eastAsia="黑体" w:cs="黑体"/>
          <w:i w:val="0"/>
          <w:iCs w:val="0"/>
          <w:caps w:val="0"/>
          <w:snapToGrid w:val="0"/>
          <w:color w:val="333333"/>
          <w:spacing w:val="10"/>
          <w:kern w:val="0"/>
          <w:sz w:val="32"/>
          <w:szCs w:val="32"/>
          <w:vertAlign w:val="baseline"/>
          <w:lang w:val="en-US" w:eastAsia="zh-CN" w:bidi="ar"/>
        </w:rPr>
        <w:t>十、其他重要事项的情况说明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3"/>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b/>
          <w:bCs/>
          <w:i w:val="0"/>
          <w:iCs w:val="0"/>
          <w:caps w:val="0"/>
          <w:snapToGrid w:val="0"/>
          <w:color w:val="333333"/>
          <w:spacing w:val="10"/>
          <w:kern w:val="0"/>
          <w:sz w:val="32"/>
          <w:szCs w:val="32"/>
          <w:vertAlign w:val="baseline"/>
          <w:lang w:val="en-US" w:eastAsia="zh-CN" w:bidi="ar"/>
        </w:rPr>
        <w:t>（一）机关运行经费支出情况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我局2019年机关运行经费支出预算13.02万元，主要保障机构正常运转及正常履职，包括办公费、水费、电费、邮电费、印刷费、差旅费、维修（护）费等</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，较上年减少1.55万元，下降10.64%，主要原因是</w:t>
      </w:r>
      <w:r>
        <w:rPr>
          <w:rFonts w:hint="eastAsia" w:ascii="仿宋_GB2312" w:hAnsi="仿宋_GB2312" w:eastAsia="仿宋_GB2312" w:cs="仿宋_GB2312"/>
          <w:kern w:val="0"/>
          <w:sz w:val="32"/>
          <w:szCs w:val="32"/>
          <w:lang w:eastAsia="zh-CN"/>
        </w:rPr>
        <w:t>严格执行中央八项规定，厉行节约</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3"/>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b/>
          <w:bCs/>
          <w:i w:val="0"/>
          <w:iCs w:val="0"/>
          <w:caps w:val="0"/>
          <w:snapToGrid w:val="0"/>
          <w:color w:val="333333"/>
          <w:spacing w:val="10"/>
          <w:kern w:val="0"/>
          <w:sz w:val="32"/>
          <w:szCs w:val="32"/>
          <w:vertAlign w:val="baseline"/>
          <w:lang w:val="en-US" w:eastAsia="zh-CN" w:bidi="ar"/>
        </w:rPr>
        <w:t>（二）政府采购支出情况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2019年政府采购预算安排0万元，其中：政府采购货物预算0万元、政府采购工程预算0万元、政府采购服务预算0万元。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3"/>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b/>
          <w:bCs/>
          <w:i w:val="0"/>
          <w:iCs w:val="0"/>
          <w:caps w:val="0"/>
          <w:snapToGrid w:val="0"/>
          <w:color w:val="333333"/>
          <w:spacing w:val="10"/>
          <w:kern w:val="0"/>
          <w:sz w:val="32"/>
          <w:szCs w:val="32"/>
          <w:vertAlign w:val="baseline"/>
          <w:lang w:val="en-US" w:eastAsia="zh-CN" w:bidi="ar"/>
        </w:rPr>
        <w:t>（三）关于预算绩效管理工作开展情况说明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80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2018年，我局共组织对0个项目进行了预算绩效评价，涉及资金0万元。2019年，我局拟组织对0个项目进行了预算绩效评价，涉及资金0万元。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3"/>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b/>
          <w:bCs/>
          <w:i w:val="0"/>
          <w:iCs w:val="0"/>
          <w:caps w:val="0"/>
          <w:snapToGrid w:val="0"/>
          <w:color w:val="333333"/>
          <w:spacing w:val="10"/>
          <w:kern w:val="0"/>
          <w:sz w:val="32"/>
          <w:szCs w:val="32"/>
          <w:vertAlign w:val="baseline"/>
          <w:lang w:val="en-US" w:eastAsia="zh-CN" w:bidi="ar"/>
        </w:rPr>
        <w:t>（四）国有资产占用情况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2018年期末，我局</w:t>
      </w:r>
      <w:r>
        <w:rPr>
          <w:rFonts w:hint="eastAsia" w:ascii="仿宋_GB2312" w:hAnsi="微软雅黑" w:eastAsia="仿宋_GB2312" w:cs="仿宋_GB2312"/>
          <w:i w:val="0"/>
          <w:iCs w:val="0"/>
          <w:caps w:val="0"/>
          <w:snapToGrid w:val="0"/>
          <w:color w:val="333333"/>
          <w:spacing w:val="10"/>
          <w:kern w:val="0"/>
          <w:sz w:val="32"/>
          <w:szCs w:val="32"/>
          <w:vertAlign w:val="baseline"/>
          <w:lang w:val="en-US" w:eastAsia="zh-CN" w:bidi="ar"/>
        </w:rPr>
        <w:t>固定资产总额88.94万元，其中房屋建筑物0万元，车辆17.98万元。</w:t>
      </w: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共有车辆1辆，其中：一般公务用车1辆；单价50万元以上通用设备0台，单位价值100万元以上专用设备0台。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3"/>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b/>
          <w:bCs/>
          <w:i w:val="0"/>
          <w:iCs w:val="0"/>
          <w:caps w:val="0"/>
          <w:snapToGrid w:val="0"/>
          <w:color w:val="333333"/>
          <w:spacing w:val="10"/>
          <w:kern w:val="0"/>
          <w:sz w:val="32"/>
          <w:szCs w:val="32"/>
          <w:vertAlign w:val="baseline"/>
          <w:lang w:val="en-US" w:eastAsia="zh-CN" w:bidi="ar"/>
        </w:rPr>
        <w:t>（五）专项转移支付项目情况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ascii="楷体_GB2312" w:hAnsi="微软雅黑" w:eastAsia="楷体_GB2312" w:cs="楷体_GB2312"/>
          <w:b/>
          <w:bCs/>
          <w:i w:val="0"/>
          <w:iCs w:val="0"/>
          <w:caps w:val="0"/>
          <w:snapToGrid w:val="0"/>
          <w:color w:val="333333"/>
          <w:spacing w:val="10"/>
          <w:kern w:val="0"/>
          <w:sz w:val="32"/>
          <w:szCs w:val="32"/>
          <w:vertAlign w:val="baseline"/>
          <w:lang w:val="en-US" w:eastAsia="zh-CN" w:bidi="ar"/>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我局负责管理的专项转移支付项目共有0项。</w:t>
      </w:r>
      <w:r>
        <w:rPr>
          <w:rFonts w:ascii="楷体_GB2312" w:hAnsi="微软雅黑" w:eastAsia="楷体_GB2312" w:cs="楷体_GB2312"/>
          <w:b/>
          <w:bCs/>
          <w:i w:val="0"/>
          <w:iCs w:val="0"/>
          <w:caps w:val="0"/>
          <w:snapToGrid w:val="0"/>
          <w:color w:val="333333"/>
          <w:spacing w:val="10"/>
          <w:kern w:val="0"/>
          <w:sz w:val="32"/>
          <w:szCs w:val="32"/>
          <w:vertAlign w:val="baseline"/>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仿宋_GB2312" w:hAnsi="微软雅黑" w:eastAsia="仿宋_GB2312" w:cs="仿宋_GB2312"/>
          <w:b/>
          <w:bCs/>
          <w:i w:val="0"/>
          <w:iCs w:val="0"/>
          <w:caps w:val="0"/>
          <w:color w:val="333333"/>
          <w:spacing w:val="0"/>
          <w:kern w:val="0"/>
          <w:sz w:val="32"/>
          <w:szCs w:val="32"/>
          <w:vertAlign w:val="baseline"/>
          <w:lang w:val="en-US" w:eastAsia="zh-CN" w:bidi="ar"/>
        </w:rPr>
      </w:pPr>
      <w:r>
        <w:rPr>
          <w:rFonts w:hint="eastAsia" w:ascii="仿宋_GB2312" w:hAnsi="微软雅黑" w:eastAsia="仿宋_GB2312" w:cs="仿宋_GB2312"/>
          <w:b/>
          <w:bCs/>
          <w:i w:val="0"/>
          <w:iCs w:val="0"/>
          <w:caps w:val="0"/>
          <w:color w:val="333333"/>
          <w:spacing w:val="0"/>
          <w:kern w:val="0"/>
          <w:sz w:val="32"/>
          <w:szCs w:val="32"/>
          <w:vertAlign w:val="baseline"/>
          <w:lang w:val="en-US" w:eastAsia="zh-CN" w:bidi="ar"/>
        </w:rPr>
        <w:t>（六）关于预算部门构成说明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仿宋_GB2312" w:hAnsi="微软雅黑" w:eastAsia="仿宋_GB2312" w:cs="仿宋_GB2312"/>
          <w:i w:val="0"/>
          <w:iCs w:val="0"/>
          <w:caps w:val="0"/>
          <w:color w:val="333333"/>
          <w:spacing w:val="0"/>
          <w:kern w:val="0"/>
          <w:sz w:val="32"/>
          <w:szCs w:val="32"/>
          <w:vertAlign w:val="baseline"/>
          <w:lang w:val="en-US" w:eastAsia="zh-CN" w:bidi="ar"/>
        </w:rPr>
      </w:pPr>
      <w:r>
        <w:rPr>
          <w:rFonts w:hint="eastAsia" w:ascii="仿宋_GB2312" w:hAnsi="微软雅黑" w:eastAsia="仿宋_GB2312" w:cs="仿宋_GB2312"/>
          <w:i w:val="0"/>
          <w:iCs w:val="0"/>
          <w:caps w:val="0"/>
          <w:color w:val="333333"/>
          <w:spacing w:val="0"/>
          <w:kern w:val="0"/>
          <w:sz w:val="32"/>
          <w:szCs w:val="32"/>
          <w:vertAlign w:val="baseline"/>
          <w:lang w:val="en-US" w:eastAsia="zh-CN" w:bidi="ar"/>
        </w:rPr>
        <w:t>2019年我单位按照县财政预算公开要求，将所属预算单位全部纳入预算公开范围。</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楷体_GB2312" w:hAnsi="微软雅黑" w:eastAsia="楷体_GB2312" w:cs="楷体_GB2312"/>
          <w:b/>
          <w:bCs/>
          <w:i w:val="0"/>
          <w:iCs w:val="0"/>
          <w:caps w:val="0"/>
          <w:snapToGrid w:val="0"/>
          <w:color w:val="333333"/>
          <w:spacing w:val="10"/>
          <w:kern w:val="0"/>
          <w:sz w:val="32"/>
          <w:szCs w:val="32"/>
          <w:vertAlign w:val="baseline"/>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3"/>
        <w:jc w:val="center"/>
        <w:textAlignment w:val="baseline"/>
        <w:rPr>
          <w:rFonts w:hint="default" w:ascii="楷体_GB2312" w:hAnsi="微软雅黑" w:eastAsia="楷体_GB2312" w:cs="楷体_GB2312"/>
          <w:b/>
          <w:bCs/>
          <w:i w:val="0"/>
          <w:iCs w:val="0"/>
          <w:caps w:val="0"/>
          <w:snapToGrid w:val="0"/>
          <w:color w:val="333333"/>
          <w:spacing w:val="10"/>
          <w:kern w:val="0"/>
          <w:sz w:val="32"/>
          <w:szCs w:val="32"/>
          <w:vertAlign w:val="baseline"/>
          <w:lang w:val="en-US" w:eastAsia="zh-CN" w:bidi="ar"/>
        </w:rPr>
      </w:pPr>
    </w:p>
    <w:p>
      <w:pPr>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0"/>
        <w:jc w:val="center"/>
        <w:textAlignment w:val="baseline"/>
        <w:rPr>
          <w:rFonts w:hint="eastAsia" w:ascii="黑体" w:hAnsi="宋体" w:eastAsia="黑体" w:cs="黑体"/>
          <w:i w:val="0"/>
          <w:iCs w:val="0"/>
          <w:caps w:val="0"/>
          <w:snapToGrid w:val="0"/>
          <w:color w:val="333333"/>
          <w:spacing w:val="10"/>
          <w:kern w:val="0"/>
          <w:sz w:val="44"/>
          <w:szCs w:val="44"/>
          <w:vertAlign w:val="baseline"/>
          <w:lang w:val="en-US" w:eastAsia="zh-CN" w:bidi="ar"/>
        </w:rPr>
      </w:pPr>
      <w:r>
        <w:rPr>
          <w:rFonts w:hint="eastAsia" w:ascii="黑体" w:hAnsi="宋体" w:eastAsia="黑体" w:cs="黑体"/>
          <w:i w:val="0"/>
          <w:iCs w:val="0"/>
          <w:caps w:val="0"/>
          <w:snapToGrid w:val="0"/>
          <w:color w:val="333333"/>
          <w:spacing w:val="10"/>
          <w:kern w:val="0"/>
          <w:sz w:val="44"/>
          <w:szCs w:val="44"/>
          <w:vertAlign w:val="baseline"/>
          <w:lang w:val="en-US" w:eastAsia="zh-CN" w:bidi="ar"/>
        </w:rPr>
        <w:t xml:space="preserve"> 名词解释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一、财政拨款收入：是指县级财政当年拨付的资金。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二、事业收入：是指事业单位开展专业活动及辅助活动所取得的收入。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三、其他收入：是指部门取得的除“财政拨款”、“事业收入”、“事业单位经营收入”等以外的收入。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四、用事业基金弥补收支差额：是指事业单位在当年的“财政拨款收入”、“事业收入”、“经营收入”和“其他收入”不足以安排当年支出的情况下，使用以前年度积累的事业基金（即事业单位以前各年度收支相抵后，按国家规定提取、用于弥补以后年度收 支差额的基金）弥补当年收支缺口的资金。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五、基本支出：是指为保障机构正常运转、完成日常工作任务所必需的开支，其内容包括人员经费和日常公用经费两部分。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六、项目支出：是指在基本支出之外，为完成特定的行政工作任务或事业发展目标所发生的支出。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七、“三公”经费：是指纳入县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eastAsia" w:ascii="微软雅黑" w:hAnsi="微软雅黑" w:eastAsia="微软雅黑" w:cs="微软雅黑"/>
          <w:i w:val="0"/>
          <w:iCs w:val="0"/>
          <w:caps w:val="0"/>
          <w:snapToGrid w:val="0"/>
          <w:color w:val="333333"/>
          <w:spacing w:val="10"/>
          <w:kern w:val="0"/>
          <w:sz w:val="18"/>
          <w:szCs w:val="18"/>
        </w:rPr>
      </w:pPr>
      <w:r>
        <w:rPr>
          <w:rFonts w:hint="default" w:ascii="仿宋_GB2312" w:hAnsi="微软雅黑" w:eastAsia="仿宋_GB2312" w:cs="仿宋_GB2312"/>
          <w:i w:val="0"/>
          <w:iCs w:val="0"/>
          <w:caps w:val="0"/>
          <w:snapToGrid w:val="0"/>
          <w:color w:val="333333"/>
          <w:spacing w:val="10"/>
          <w:kern w:val="0"/>
          <w:sz w:val="32"/>
          <w:szCs w:val="32"/>
          <w:vertAlign w:val="baseline"/>
          <w:lang w:val="en-US" w:eastAsia="zh-CN" w:bidi="ar"/>
        </w:rPr>
        <w:t>八、机关运行经费：是指为保障行政单位（含参照公务员法管理的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pPr>
        <w:keepNext w:val="0"/>
        <w:keepLines w:val="0"/>
        <w:pageBreakBefore w:val="0"/>
        <w:kinsoku/>
        <w:wordWrap/>
        <w:overflowPunct/>
        <w:topLinePunct w:val="0"/>
        <w:autoSpaceDE/>
        <w:autoSpaceDN/>
        <w:bidi w:val="0"/>
        <w:adjustRightInd w:val="0"/>
        <w:snapToGrid w:val="0"/>
        <w:spacing w:line="560" w:lineRule="exact"/>
        <w:rPr>
          <w:rFonts w:hint="eastAsia" w:eastAsiaTheme="minorEastAsia"/>
          <w:snapToGrid w:val="0"/>
          <w:spacing w:val="10"/>
          <w:kern w:val="0"/>
          <w:lang w:eastAsia="zh-CN"/>
        </w:rPr>
      </w:pPr>
    </w:p>
    <w:p>
      <w:pPr>
        <w:keepNext w:val="0"/>
        <w:keepLines w:val="0"/>
        <w:pageBreakBefore w:val="0"/>
        <w:kinsoku/>
        <w:wordWrap/>
        <w:overflowPunct/>
        <w:topLinePunct w:val="0"/>
        <w:autoSpaceDE/>
        <w:autoSpaceDN/>
        <w:bidi w:val="0"/>
        <w:adjustRightInd w:val="0"/>
        <w:snapToGrid w:val="0"/>
        <w:spacing w:line="560" w:lineRule="exact"/>
        <w:rPr>
          <w:rFonts w:hint="eastAsia" w:eastAsiaTheme="minorEastAsia"/>
          <w:snapToGrid w:val="0"/>
          <w:spacing w:val="10"/>
          <w:kern w:val="0"/>
          <w:lang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150" w:afterAutospacing="0" w:line="560" w:lineRule="exact"/>
        <w:ind w:left="0" w:right="0" w:firstLine="640"/>
        <w:jc w:val="left"/>
        <w:textAlignment w:val="baseline"/>
        <w:rPr>
          <w:rFonts w:hint="default" w:ascii="仿宋_GB2312" w:hAnsi="微软雅黑" w:eastAsia="仿宋_GB2312" w:cs="仿宋_GB2312"/>
          <w:b/>
          <w:bCs/>
          <w:i w:val="0"/>
          <w:iCs w:val="0"/>
          <w:caps w:val="0"/>
          <w:snapToGrid w:val="0"/>
          <w:color w:val="333333"/>
          <w:spacing w:val="10"/>
          <w:kern w:val="0"/>
          <w:sz w:val="32"/>
          <w:szCs w:val="32"/>
          <w:vertAlign w:val="baseline"/>
          <w:lang w:val="en-US" w:eastAsia="zh-CN" w:bidi="ar"/>
        </w:rPr>
      </w:pPr>
      <w:r>
        <w:rPr>
          <w:rFonts w:hint="eastAsia" w:ascii="仿宋_GB2312" w:hAnsi="微软雅黑" w:eastAsia="仿宋_GB2312" w:cs="仿宋_GB2312"/>
          <w:b/>
          <w:bCs/>
          <w:i w:val="0"/>
          <w:iCs w:val="0"/>
          <w:caps w:val="0"/>
          <w:snapToGrid w:val="0"/>
          <w:color w:val="333333"/>
          <w:spacing w:val="10"/>
          <w:kern w:val="0"/>
          <w:sz w:val="32"/>
          <w:szCs w:val="32"/>
          <w:vertAlign w:val="baseline"/>
          <w:lang w:val="en-US" w:eastAsia="zh-CN" w:bidi="ar"/>
        </w:rPr>
        <w:t>附件：南乐县信访局2019年度部门预算表</w:t>
      </w:r>
    </w:p>
    <w:sectPr>
      <w:pgSz w:w="11906" w:h="16838"/>
      <w:pgMar w:top="1440"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Arial Unicode MS"/>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AF7A25D"/>
    <w:multiLevelType w:val="singleLevel"/>
    <w:tmpl w:val="8AF7A25D"/>
    <w:lvl w:ilvl="0" w:tentative="0">
      <w:start w:val="1"/>
      <w:numFmt w:val="chineseCounting"/>
      <w:suff w:val="nothing"/>
      <w:lvlText w:val="%1、"/>
      <w:lvlJc w:val="left"/>
      <w:pPr>
        <w:ind w:left="970" w:leftChars="0" w:firstLine="0" w:firstLineChars="0"/>
      </w:pPr>
      <w:rPr>
        <w:rFonts w:hint="eastAsia"/>
      </w:rPr>
    </w:lvl>
  </w:abstractNum>
  <w:abstractNum w:abstractNumId="1">
    <w:nsid w:val="CAD27A51"/>
    <w:multiLevelType w:val="singleLevel"/>
    <w:tmpl w:val="CAD27A51"/>
    <w:lvl w:ilvl="0" w:tentative="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095BBA"/>
    <w:rsid w:val="081046F2"/>
    <w:rsid w:val="087410D9"/>
    <w:rsid w:val="167110B7"/>
    <w:rsid w:val="1D381698"/>
    <w:rsid w:val="1D7C21EF"/>
    <w:rsid w:val="209923CD"/>
    <w:rsid w:val="35095BBA"/>
    <w:rsid w:val="3D444098"/>
    <w:rsid w:val="46683C73"/>
    <w:rsid w:val="4C501054"/>
    <w:rsid w:val="53F33B50"/>
    <w:rsid w:val="54801967"/>
    <w:rsid w:val="56F51C26"/>
    <w:rsid w:val="7065158E"/>
    <w:rsid w:val="74405551"/>
    <w:rsid w:val="781359FE"/>
    <w:rsid w:val="7B400D2D"/>
    <w:rsid w:val="7BF13D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Office_11.1.0.10379_F1E327BC-269C-435d-A152-05C5408002CA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2021-05-30T08:49:00Z</dcterms:created>
  <dc:creator>俊锋</dc:creator>
  <cp:lastModifiedBy>跳跳糖</cp:lastModifiedBy>
  <dcterms:modified xsi:type="dcterms:W3CDTF">2021-06-10T03:49:24Z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2052-11.1.0.10379</vt:lpwstr>
  </property>
  <property fmtid="{D5CDD505-2E9C-101B-9397-08002B2CF9AE}" pid="3" name="ICV">
    <vt:lpwstr>431444DBF2F944BA9CBA03580987BB76</vt:lpwstr>
  </property>
</Properties>
</file>