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24" w:lineRule="atLeast"/>
        <w:ind w:left="0" w:right="0" w:firstLine="0"/>
        <w:jc w:val="center"/>
        <w:textAlignment w:val="baseline"/>
        <w:rPr>
          <w:rFonts w:ascii="方正小标宋简体" w:hAnsi="方正小标宋简体" w:eastAsia="方正小标宋简体" w:cs="方正小标宋简体"/>
          <w:i w:val="0"/>
          <w:iCs w:val="0"/>
          <w:caps w:val="0"/>
          <w:color w:val="333333"/>
          <w:spacing w:val="0"/>
          <w:kern w:val="0"/>
          <w:sz w:val="36"/>
          <w:szCs w:val="36"/>
          <w:vertAlign w:val="baseline"/>
          <w:lang w:val="en-US" w:eastAsia="zh-CN" w:bidi="ar"/>
        </w:rPr>
      </w:pP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both"/>
        <w:rPr>
          <w:rFonts w:ascii="方正小标宋简体" w:hAnsi="Times New Roman" w:eastAsia="方正小标宋简体"/>
          <w:sz w:val="36"/>
          <w:szCs w:val="36"/>
        </w:rPr>
      </w:pPr>
    </w:p>
    <w:p>
      <w:pPr>
        <w:adjustRightInd w:val="0"/>
        <w:snapToGrid w:val="0"/>
        <w:spacing w:line="360" w:lineRule="auto"/>
        <w:jc w:val="center"/>
        <w:rPr>
          <w:rFonts w:hint="eastAsia" w:ascii="黑体" w:hAnsi="黑体" w:eastAsia="黑体"/>
          <w:sz w:val="48"/>
          <w:szCs w:val="48"/>
          <w:lang w:val="en-US" w:eastAsia="zh-CN"/>
        </w:rPr>
      </w:pPr>
      <w:r>
        <w:rPr>
          <w:rFonts w:hint="eastAsia" w:ascii="黑体" w:hAnsi="黑体" w:eastAsia="黑体"/>
          <w:sz w:val="48"/>
          <w:szCs w:val="48"/>
          <w:lang w:val="en-US" w:eastAsia="zh-CN"/>
        </w:rPr>
        <w:t>南乐县卫生健康委员会</w:t>
      </w:r>
    </w:p>
    <w:p>
      <w:pPr>
        <w:adjustRightInd w:val="0"/>
        <w:snapToGrid w:val="0"/>
        <w:spacing w:line="360" w:lineRule="auto"/>
        <w:jc w:val="center"/>
        <w:rPr>
          <w:rFonts w:hint="eastAsia" w:ascii="黑体" w:hAnsi="黑体" w:eastAsia="黑体"/>
          <w:sz w:val="48"/>
          <w:szCs w:val="48"/>
        </w:rPr>
      </w:pPr>
      <w:r>
        <w:rPr>
          <w:rFonts w:hint="eastAsia" w:ascii="黑体" w:hAnsi="黑体" w:eastAsia="黑体"/>
          <w:sz w:val="48"/>
          <w:szCs w:val="48"/>
        </w:rPr>
        <w:t>20</w:t>
      </w:r>
      <w:r>
        <w:rPr>
          <w:rFonts w:hint="eastAsia" w:ascii="黑体" w:hAnsi="黑体" w:eastAsia="黑体"/>
          <w:sz w:val="48"/>
          <w:szCs w:val="48"/>
          <w:lang w:val="en-US" w:eastAsia="zh-CN"/>
        </w:rPr>
        <w:t>19</w:t>
      </w:r>
      <w:r>
        <w:rPr>
          <w:rFonts w:hint="eastAsia" w:ascii="黑体" w:hAnsi="黑体" w:eastAsia="黑体"/>
          <w:sz w:val="48"/>
          <w:szCs w:val="48"/>
        </w:rPr>
        <w:t>年度</w:t>
      </w:r>
      <w:r>
        <w:rPr>
          <w:rFonts w:ascii="黑体" w:hAnsi="黑体" w:eastAsia="黑体"/>
          <w:sz w:val="48"/>
          <w:szCs w:val="48"/>
        </w:rPr>
        <w:t>部门</w:t>
      </w:r>
      <w:r>
        <w:rPr>
          <w:rFonts w:hint="eastAsia" w:ascii="黑体" w:hAnsi="黑体" w:eastAsia="黑体"/>
          <w:sz w:val="48"/>
          <w:szCs w:val="48"/>
          <w:lang w:eastAsia="zh-CN"/>
        </w:rPr>
        <w:t>汇总</w:t>
      </w:r>
      <w:r>
        <w:rPr>
          <w:rFonts w:hint="eastAsia" w:ascii="黑体" w:hAnsi="黑体" w:eastAsia="黑体"/>
          <w:sz w:val="48"/>
          <w:szCs w:val="48"/>
        </w:rPr>
        <w:t>预算</w:t>
      </w: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center"/>
        <w:rPr>
          <w:rFonts w:ascii="方正小标宋简体" w:hAnsi="Times New Roman" w:eastAsia="方正小标宋简体"/>
          <w:sz w:val="36"/>
          <w:szCs w:val="36"/>
        </w:rPr>
      </w:pPr>
    </w:p>
    <w:p>
      <w:pPr>
        <w:adjustRightInd w:val="0"/>
        <w:snapToGrid w:val="0"/>
        <w:spacing w:line="360" w:lineRule="auto"/>
        <w:jc w:val="center"/>
        <w:rPr>
          <w:rFonts w:hint="eastAsia" w:ascii="黑体" w:hAnsi="黑体" w:eastAsia="黑体"/>
          <w:sz w:val="48"/>
          <w:szCs w:val="48"/>
        </w:rPr>
      </w:pPr>
      <w:r>
        <w:rPr>
          <w:rFonts w:hint="eastAsia" w:ascii="黑体" w:hAnsi="黑体" w:eastAsia="黑体"/>
          <w:sz w:val="48"/>
          <w:szCs w:val="48"/>
        </w:rPr>
        <w:t>20</w:t>
      </w:r>
      <w:r>
        <w:rPr>
          <w:rFonts w:hint="eastAsia" w:ascii="黑体" w:hAnsi="黑体" w:eastAsia="黑体"/>
          <w:sz w:val="48"/>
          <w:szCs w:val="48"/>
          <w:lang w:val="en-US" w:eastAsia="zh-CN"/>
        </w:rPr>
        <w:t>19</w:t>
      </w:r>
      <w:r>
        <w:rPr>
          <w:rFonts w:hint="eastAsia" w:ascii="黑体" w:hAnsi="黑体" w:eastAsia="黑体"/>
          <w:sz w:val="48"/>
          <w:szCs w:val="48"/>
        </w:rPr>
        <w:t>年</w:t>
      </w:r>
      <w:r>
        <w:rPr>
          <w:rFonts w:hint="eastAsia" w:ascii="黑体" w:hAnsi="黑体" w:eastAsia="黑体"/>
          <w:sz w:val="48"/>
          <w:szCs w:val="48"/>
          <w:lang w:val="en-US" w:eastAsia="zh-CN"/>
        </w:rPr>
        <w:t>4</w:t>
      </w:r>
      <w:r>
        <w:rPr>
          <w:rFonts w:hint="eastAsia" w:ascii="黑体" w:hAnsi="黑体" w:eastAsia="黑体"/>
          <w:sz w:val="48"/>
          <w:szCs w:val="48"/>
        </w:rPr>
        <w:t>月</w:t>
      </w:r>
      <w:r>
        <w:rPr>
          <w:rFonts w:hint="eastAsia" w:ascii="黑体" w:hAnsi="黑体" w:eastAsia="黑体"/>
          <w:sz w:val="48"/>
          <w:szCs w:val="48"/>
          <w:lang w:val="en-US" w:eastAsia="zh-CN"/>
        </w:rPr>
        <w:t>4</w:t>
      </w:r>
      <w:r>
        <w:rPr>
          <w:rFonts w:hint="eastAsia" w:ascii="黑体" w:hAnsi="黑体" w:eastAsia="黑体"/>
          <w:sz w:val="48"/>
          <w:szCs w:val="48"/>
        </w:rPr>
        <w:t>日</w:t>
      </w:r>
    </w:p>
    <w:p>
      <w:pPr>
        <w:adjustRightInd w:val="0"/>
        <w:snapToGrid w:val="0"/>
        <w:spacing w:line="360" w:lineRule="auto"/>
        <w:jc w:val="center"/>
        <w:rPr>
          <w:rFonts w:ascii="方正小标宋简体" w:hAnsi="Times New Roman" w:eastAsia="方正小标宋简体"/>
          <w:sz w:val="36"/>
          <w:szCs w:val="36"/>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324" w:lineRule="atLeast"/>
        <w:ind w:left="0" w:right="0" w:firstLine="0"/>
        <w:jc w:val="center"/>
        <w:textAlignment w:val="baseline"/>
        <w:rPr>
          <w:rFonts w:ascii="方正小标宋简体" w:hAnsi="方正小标宋简体" w:eastAsia="方正小标宋简体" w:cs="方正小标宋简体"/>
          <w:i w:val="0"/>
          <w:iCs w:val="0"/>
          <w:caps w:val="0"/>
          <w:color w:val="333333"/>
          <w:spacing w:val="0"/>
          <w:kern w:val="0"/>
          <w:sz w:val="36"/>
          <w:szCs w:val="36"/>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center"/>
        <w:textAlignment w:val="baseline"/>
        <w:rPr>
          <w:rFonts w:ascii="仿宋" w:hAnsi="仿宋" w:eastAsia="仿宋" w:cs="仿宋"/>
          <w:b/>
          <w:i w:val="0"/>
          <w:caps w:val="0"/>
          <w:color w:val="333333"/>
          <w:spacing w:val="0"/>
          <w:kern w:val="0"/>
          <w:sz w:val="36"/>
          <w:szCs w:val="36"/>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center"/>
        <w:textAlignment w:val="baseline"/>
        <w:rPr>
          <w:rFonts w:ascii="仿宋" w:hAnsi="仿宋" w:eastAsia="仿宋" w:cs="仿宋"/>
          <w:b/>
          <w:i w:val="0"/>
          <w:caps w:val="0"/>
          <w:color w:val="333333"/>
          <w:spacing w:val="0"/>
          <w:kern w:val="0"/>
          <w:sz w:val="36"/>
          <w:szCs w:val="36"/>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both"/>
        <w:textAlignment w:val="baseline"/>
        <w:rPr>
          <w:rFonts w:ascii="仿宋" w:hAnsi="仿宋" w:eastAsia="仿宋" w:cs="仿宋"/>
          <w:b/>
          <w:i w:val="0"/>
          <w:caps w:val="0"/>
          <w:color w:val="333333"/>
          <w:spacing w:val="0"/>
          <w:kern w:val="0"/>
          <w:sz w:val="36"/>
          <w:szCs w:val="36"/>
          <w:vertAlign w:val="baseli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142" w:right="51" w:firstLine="39"/>
        <w:jc w:val="center"/>
        <w:textAlignment w:val="baseline"/>
        <w:rPr>
          <w:rFonts w:hint="eastAsia" w:ascii="微软雅黑" w:hAnsi="微软雅黑" w:eastAsia="微软雅黑" w:cs="微软雅黑"/>
          <w:b/>
          <w:bCs w:val="0"/>
          <w:i w:val="0"/>
          <w:caps w:val="0"/>
          <w:color w:val="333333"/>
          <w:spacing w:val="0"/>
          <w:sz w:val="27"/>
          <w:szCs w:val="27"/>
        </w:rPr>
      </w:pPr>
      <w:r>
        <w:rPr>
          <w:rFonts w:hint="eastAsia" w:ascii="仿宋" w:hAnsi="仿宋" w:eastAsia="仿宋" w:cs="仿宋"/>
          <w:b/>
          <w:bCs w:val="0"/>
          <w:i w:val="0"/>
          <w:caps w:val="0"/>
          <w:color w:val="333333"/>
          <w:spacing w:val="0"/>
          <w:kern w:val="0"/>
          <w:sz w:val="56"/>
          <w:szCs w:val="56"/>
          <w:vertAlign w:val="baseline"/>
          <w:lang w:val="en-US" w:eastAsia="zh-CN" w:bidi="ar"/>
        </w:rPr>
        <w:t>目</w:t>
      </w:r>
      <w:r>
        <w:rPr>
          <w:rFonts w:hint="eastAsia" w:ascii="仿宋" w:hAnsi="仿宋" w:eastAsia="仿宋" w:cs="仿宋"/>
          <w:b/>
          <w:bCs w:val="0"/>
          <w:i w:val="0"/>
          <w:caps w:val="0"/>
          <w:color w:val="333333"/>
          <w:spacing w:val="2"/>
          <w:kern w:val="0"/>
          <w:sz w:val="56"/>
          <w:szCs w:val="56"/>
          <w:vertAlign w:val="baseline"/>
          <w:lang w:val="en-US" w:eastAsia="zh-CN" w:bidi="ar"/>
        </w:rPr>
        <w:t> </w:t>
      </w:r>
      <w:r>
        <w:rPr>
          <w:rFonts w:hint="eastAsia" w:ascii="仿宋" w:hAnsi="仿宋" w:eastAsia="仿宋" w:cs="仿宋"/>
          <w:b/>
          <w:bCs w:val="0"/>
          <w:i w:val="0"/>
          <w:caps w:val="0"/>
          <w:color w:val="333333"/>
          <w:spacing w:val="0"/>
          <w:kern w:val="0"/>
          <w:sz w:val="56"/>
          <w:szCs w:val="56"/>
          <w:vertAlign w:val="baseline"/>
          <w:lang w:val="en-US" w:eastAsia="zh-CN" w:bidi="ar"/>
        </w:rPr>
        <w:t>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40" w:lineRule="atLeast"/>
        <w:ind w:left="0" w:right="0" w:firstLine="643"/>
        <w:jc w:val="both"/>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第一部分 概况</w:t>
      </w:r>
      <w:r>
        <w:rPr>
          <w:rFonts w:hint="eastAsia" w:ascii="仿宋" w:hAnsi="仿宋" w:eastAsia="仿宋" w:cs="仿宋"/>
          <w:i w:val="0"/>
          <w:caps w:val="0"/>
          <w:color w:val="333333"/>
          <w:spacing w:val="0"/>
          <w:kern w:val="0"/>
          <w:sz w:val="32"/>
          <w:szCs w:val="32"/>
          <w:vertAlign w:val="baseline"/>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3569"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一、主要职能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3569"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二、部门预算单位构成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21"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第二部分</w:t>
      </w:r>
      <w:r>
        <w:rPr>
          <w:rFonts w:hint="eastAsia" w:ascii="仿宋" w:hAnsi="仿宋" w:eastAsia="仿宋" w:cs="仿宋"/>
          <w:b/>
          <w:i w:val="0"/>
          <w:caps w:val="0"/>
          <w:color w:val="333333"/>
          <w:spacing w:val="-38"/>
          <w:kern w:val="0"/>
          <w:sz w:val="32"/>
          <w:szCs w:val="32"/>
          <w:vertAlign w:val="baseline"/>
          <w:lang w:val="en-US" w:eastAsia="zh-CN" w:bidi="ar"/>
        </w:rPr>
        <w:t> 南乐县</w:t>
      </w:r>
      <w:r>
        <w:rPr>
          <w:rFonts w:hint="eastAsia" w:ascii="仿宋" w:hAnsi="仿宋" w:eastAsia="仿宋" w:cs="仿宋"/>
          <w:b/>
          <w:i w:val="0"/>
          <w:caps w:val="0"/>
          <w:color w:val="333333"/>
          <w:spacing w:val="0"/>
          <w:kern w:val="0"/>
          <w:sz w:val="32"/>
          <w:szCs w:val="32"/>
          <w:vertAlign w:val="baseline"/>
          <w:lang w:val="en-US" w:eastAsia="zh-CN" w:bidi="ar"/>
        </w:rPr>
        <w:t>卫生健康委员会</w:t>
      </w:r>
      <w:r>
        <w:rPr>
          <w:rFonts w:hint="eastAsia" w:ascii="仿宋" w:hAnsi="仿宋" w:eastAsia="仿宋" w:cs="仿宋"/>
          <w:b/>
          <w:i w:val="0"/>
          <w:caps w:val="0"/>
          <w:color w:val="333333"/>
          <w:spacing w:val="-119"/>
          <w:kern w:val="0"/>
          <w:sz w:val="32"/>
          <w:szCs w:val="32"/>
          <w:vertAlign w:val="baseline"/>
          <w:lang w:val="en-US" w:eastAsia="zh-CN" w:bidi="ar"/>
        </w:rPr>
        <w:t> </w:t>
      </w:r>
      <w:r>
        <w:rPr>
          <w:rFonts w:hint="eastAsia" w:ascii="仿宋" w:hAnsi="仿宋" w:eastAsia="仿宋" w:cs="仿宋"/>
          <w:b/>
          <w:i w:val="0"/>
          <w:caps w:val="0"/>
          <w:color w:val="333333"/>
          <w:spacing w:val="0"/>
          <w:kern w:val="0"/>
          <w:sz w:val="32"/>
          <w:szCs w:val="32"/>
          <w:vertAlign w:val="baseline"/>
          <w:lang w:val="en-US" w:eastAsia="zh-CN" w:bidi="ar"/>
        </w:rPr>
        <w:t>2019</w:t>
      </w:r>
      <w:r>
        <w:rPr>
          <w:rFonts w:hint="eastAsia" w:ascii="仿宋" w:hAnsi="仿宋" w:eastAsia="仿宋" w:cs="仿宋"/>
          <w:b/>
          <w:i w:val="0"/>
          <w:caps w:val="0"/>
          <w:color w:val="333333"/>
          <w:spacing w:val="-119"/>
          <w:kern w:val="0"/>
          <w:sz w:val="32"/>
          <w:szCs w:val="32"/>
          <w:vertAlign w:val="baseline"/>
          <w:lang w:val="en-US" w:eastAsia="zh-CN" w:bidi="ar"/>
        </w:rPr>
        <w:t> </w:t>
      </w:r>
      <w:r>
        <w:rPr>
          <w:rFonts w:hint="eastAsia" w:ascii="仿宋" w:hAnsi="仿宋" w:eastAsia="仿宋" w:cs="仿宋"/>
          <w:b/>
          <w:i w:val="0"/>
          <w:caps w:val="0"/>
          <w:color w:val="333333"/>
          <w:spacing w:val="0"/>
          <w:kern w:val="0"/>
          <w:sz w:val="32"/>
          <w:szCs w:val="32"/>
          <w:vertAlign w:val="baseline"/>
          <w:lang w:val="en-US" w:eastAsia="zh-CN" w:bidi="ar"/>
        </w:rPr>
        <w:t>年度部门汇总预算情况说明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21" w:firstLine="643"/>
        <w:jc w:val="left"/>
        <w:textAlignment w:val="baseline"/>
        <w:rPr>
          <w:rFonts w:hint="eastAsia" w:ascii="仿宋" w:hAnsi="仿宋" w:eastAsia="仿宋" w:cs="仿宋"/>
          <w:b/>
          <w:i w:val="0"/>
          <w:caps w:val="0"/>
          <w:color w:val="333333"/>
          <w:spacing w:val="0"/>
          <w:kern w:val="0"/>
          <w:sz w:val="32"/>
          <w:szCs w:val="32"/>
          <w:vertAlign w:val="baseline"/>
          <w:lang w:val="en-US" w:eastAsia="zh-CN" w:bidi="ar"/>
        </w:rPr>
      </w:pPr>
      <w:r>
        <w:rPr>
          <w:rFonts w:hint="eastAsia" w:ascii="仿宋" w:hAnsi="仿宋" w:eastAsia="仿宋" w:cs="仿宋"/>
          <w:b/>
          <w:i w:val="0"/>
          <w:caps w:val="0"/>
          <w:color w:val="333333"/>
          <w:spacing w:val="0"/>
          <w:kern w:val="0"/>
          <w:sz w:val="32"/>
          <w:szCs w:val="32"/>
          <w:vertAlign w:val="baseline"/>
          <w:lang w:val="en-US" w:eastAsia="zh-CN" w:bidi="ar"/>
        </w:rPr>
        <w:t>第三部分</w:t>
      </w:r>
      <w:r>
        <w:rPr>
          <w:rFonts w:hint="eastAsia" w:ascii="仿宋" w:hAnsi="仿宋" w:eastAsia="仿宋" w:cs="仿宋"/>
          <w:b/>
          <w:i w:val="0"/>
          <w:caps w:val="0"/>
          <w:color w:val="333333"/>
          <w:spacing w:val="-32"/>
          <w:kern w:val="0"/>
          <w:sz w:val="32"/>
          <w:szCs w:val="32"/>
          <w:vertAlign w:val="baseline"/>
          <w:lang w:val="en-US" w:eastAsia="zh-CN" w:bidi="ar"/>
        </w:rPr>
        <w:t> </w:t>
      </w:r>
      <w:r>
        <w:rPr>
          <w:rFonts w:hint="eastAsia" w:ascii="仿宋" w:hAnsi="仿宋" w:eastAsia="仿宋" w:cs="仿宋"/>
          <w:b/>
          <w:i w:val="0"/>
          <w:caps w:val="0"/>
          <w:color w:val="333333"/>
          <w:spacing w:val="0"/>
          <w:kern w:val="0"/>
          <w:sz w:val="32"/>
          <w:szCs w:val="32"/>
          <w:vertAlign w:val="baseline"/>
          <w:lang w:val="en-US" w:eastAsia="zh-CN" w:bidi="ar"/>
        </w:rPr>
        <w:t>名词解释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21" w:firstLine="643"/>
        <w:jc w:val="left"/>
        <w:textAlignment w:val="baseline"/>
        <w:rPr>
          <w:rFonts w:hint="eastAsia" w:ascii="仿宋" w:hAnsi="仿宋" w:eastAsia="仿宋" w:cs="仿宋"/>
          <w:b/>
          <w:i w:val="0"/>
          <w:caps w:val="0"/>
          <w:color w:val="333333"/>
          <w:spacing w:val="0"/>
          <w:kern w:val="0"/>
          <w:sz w:val="32"/>
          <w:szCs w:val="32"/>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0"/>
        <w:jc w:val="left"/>
        <w:textAlignment w:val="baseline"/>
        <w:rPr>
          <w:rFonts w:hint="eastAsia" w:ascii="微软雅黑" w:hAnsi="微软雅黑" w:eastAsia="微软雅黑" w:cs="微软雅黑"/>
          <w:b/>
          <w:bCs/>
          <w:i w:val="0"/>
          <w:caps w:val="0"/>
          <w:color w:val="333333"/>
          <w:spacing w:val="0"/>
          <w:sz w:val="27"/>
          <w:szCs w:val="27"/>
        </w:rPr>
      </w:pPr>
      <w:r>
        <w:rPr>
          <w:rFonts w:hint="eastAsia" w:ascii="仿宋" w:hAnsi="仿宋" w:eastAsia="仿宋" w:cs="仿宋"/>
          <w:b/>
          <w:bCs/>
          <w:i w:val="0"/>
          <w:caps w:val="0"/>
          <w:color w:val="333333"/>
          <w:spacing w:val="0"/>
          <w:kern w:val="0"/>
          <w:sz w:val="32"/>
          <w:szCs w:val="32"/>
          <w:vertAlign w:val="baseline"/>
          <w:lang w:val="en-US" w:eastAsia="zh-CN" w:bidi="ar"/>
        </w:rPr>
        <w:t>附件：</w:t>
      </w:r>
      <w:r>
        <w:rPr>
          <w:rFonts w:hint="eastAsia" w:ascii="仿宋" w:hAnsi="仿宋" w:eastAsia="仿宋" w:cs="仿宋"/>
          <w:b/>
          <w:bCs/>
          <w:i w:val="0"/>
          <w:caps w:val="0"/>
          <w:color w:val="333333"/>
          <w:spacing w:val="-32"/>
          <w:kern w:val="0"/>
          <w:sz w:val="32"/>
          <w:szCs w:val="32"/>
          <w:vertAlign w:val="baseline"/>
          <w:lang w:val="en-US" w:eastAsia="zh-CN" w:bidi="ar"/>
        </w:rPr>
        <w:t> 南乐县</w:t>
      </w:r>
      <w:r>
        <w:rPr>
          <w:rFonts w:hint="eastAsia" w:ascii="仿宋" w:hAnsi="仿宋" w:eastAsia="仿宋" w:cs="仿宋"/>
          <w:b/>
          <w:bCs/>
          <w:i w:val="0"/>
          <w:caps w:val="0"/>
          <w:color w:val="333333"/>
          <w:spacing w:val="0"/>
          <w:kern w:val="0"/>
          <w:sz w:val="32"/>
          <w:szCs w:val="32"/>
          <w:vertAlign w:val="baseline"/>
          <w:lang w:val="en-US" w:eastAsia="zh-CN" w:bidi="ar"/>
        </w:rPr>
        <w:t>卫生健康委员会2019</w:t>
      </w:r>
      <w:r>
        <w:rPr>
          <w:rFonts w:hint="eastAsia" w:ascii="仿宋" w:hAnsi="仿宋" w:eastAsia="仿宋" w:cs="仿宋"/>
          <w:b/>
          <w:bCs/>
          <w:i w:val="0"/>
          <w:caps w:val="0"/>
          <w:color w:val="333333"/>
          <w:spacing w:val="-116"/>
          <w:kern w:val="0"/>
          <w:sz w:val="32"/>
          <w:szCs w:val="32"/>
          <w:vertAlign w:val="baseline"/>
          <w:lang w:val="en-US" w:eastAsia="zh-CN" w:bidi="ar"/>
        </w:rPr>
        <w:t> </w:t>
      </w:r>
      <w:r>
        <w:rPr>
          <w:rFonts w:hint="eastAsia" w:ascii="仿宋" w:hAnsi="仿宋" w:eastAsia="仿宋" w:cs="仿宋"/>
          <w:b/>
          <w:bCs/>
          <w:i w:val="0"/>
          <w:caps w:val="0"/>
          <w:color w:val="333333"/>
          <w:spacing w:val="0"/>
          <w:kern w:val="0"/>
          <w:sz w:val="32"/>
          <w:szCs w:val="32"/>
          <w:vertAlign w:val="baseline"/>
          <w:lang w:val="en-US" w:eastAsia="zh-CN" w:bidi="ar"/>
        </w:rPr>
        <w:t>年度部门汇总预算表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一、部门收支总体情况表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二、部门收入总体情况表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三、部门支出总体情况表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四、财政拨款收支总体情况表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五、一般公共预算支出情况表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六、一般公共预算基本支出情况表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七、一般公共预算“三公”经费支出情况表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八、政府性基金预算支出情况表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51" w:firstLine="9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九、国有资本经营预算支出情况表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101" w:right="521"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center"/>
        <w:textAlignment w:val="baseline"/>
        <w:rPr>
          <w:rFonts w:hint="eastAsia" w:ascii="微软雅黑" w:hAnsi="微软雅黑" w:eastAsia="微软雅黑" w:cs="微软雅黑"/>
          <w:b/>
          <w:bCs w:val="0"/>
          <w:i w:val="0"/>
          <w:caps w:val="0"/>
          <w:color w:val="333333"/>
          <w:spacing w:val="0"/>
          <w:sz w:val="40"/>
          <w:szCs w:val="40"/>
        </w:rPr>
      </w:pPr>
      <w:r>
        <w:rPr>
          <w:rFonts w:hint="eastAsia" w:ascii="仿宋" w:hAnsi="仿宋" w:eastAsia="仿宋" w:cs="仿宋"/>
          <w:b/>
          <w:bCs w:val="0"/>
          <w:i w:val="0"/>
          <w:caps w:val="0"/>
          <w:color w:val="333333"/>
          <w:spacing w:val="0"/>
          <w:kern w:val="0"/>
          <w:sz w:val="40"/>
          <w:szCs w:val="40"/>
          <w:vertAlign w:val="baseline"/>
          <w:lang w:val="en-US" w:eastAsia="zh-CN" w:bidi="ar"/>
        </w:rPr>
        <w:t>第一部分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center"/>
        <w:textAlignment w:val="baseline"/>
        <w:rPr>
          <w:rFonts w:hint="eastAsia" w:ascii="微软雅黑" w:hAnsi="微软雅黑" w:eastAsia="微软雅黑" w:cs="微软雅黑"/>
          <w:b/>
          <w:bCs w:val="0"/>
          <w:i w:val="0"/>
          <w:caps w:val="0"/>
          <w:color w:val="333333"/>
          <w:spacing w:val="0"/>
          <w:sz w:val="40"/>
          <w:szCs w:val="40"/>
        </w:rPr>
      </w:pPr>
      <w:r>
        <w:rPr>
          <w:rFonts w:hint="eastAsia" w:ascii="仿宋" w:hAnsi="仿宋" w:eastAsia="仿宋" w:cs="仿宋"/>
          <w:b/>
          <w:bCs w:val="0"/>
          <w:i w:val="0"/>
          <w:caps w:val="0"/>
          <w:color w:val="333333"/>
          <w:spacing w:val="0"/>
          <w:kern w:val="0"/>
          <w:sz w:val="40"/>
          <w:szCs w:val="40"/>
          <w:vertAlign w:val="baseline"/>
          <w:lang w:val="en-US" w:eastAsia="zh-CN" w:bidi="ar"/>
        </w:rPr>
        <w:t>南乐县卫生健康委员会概况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center"/>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 </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仿宋" w:hAnsi="仿宋" w:eastAsia="仿宋" w:cs="仿宋"/>
          <w:b/>
          <w:i w:val="0"/>
          <w:caps w:val="0"/>
          <w:color w:val="333333"/>
          <w:spacing w:val="0"/>
          <w:kern w:val="0"/>
          <w:sz w:val="32"/>
          <w:szCs w:val="32"/>
          <w:vertAlign w:val="baseline"/>
          <w:lang w:val="en-US" w:eastAsia="zh-CN" w:bidi="ar"/>
        </w:rPr>
      </w:pPr>
      <w:r>
        <w:rPr>
          <w:rFonts w:hint="eastAsia" w:ascii="仿宋" w:hAnsi="仿宋" w:eastAsia="仿宋" w:cs="仿宋"/>
          <w:b/>
          <w:i w:val="0"/>
          <w:caps w:val="0"/>
          <w:color w:val="333333"/>
          <w:spacing w:val="0"/>
          <w:kern w:val="0"/>
          <w:sz w:val="32"/>
          <w:szCs w:val="32"/>
          <w:vertAlign w:val="baseline"/>
          <w:lang w:val="en-US" w:eastAsia="zh-CN" w:bidi="ar"/>
        </w:rPr>
        <w:t>主要职能</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643" w:leftChars="0" w:right="0" w:rightChars="0"/>
        <w:jc w:val="left"/>
        <w:textAlignment w:val="baseline"/>
        <w:rPr>
          <w:rFonts w:hint="eastAsia" w:ascii="仿宋" w:hAnsi="仿宋" w:eastAsia="仿宋" w:cs="仿宋"/>
          <w:b/>
          <w:i w:val="0"/>
          <w:caps w:val="0"/>
          <w:color w:val="333333"/>
          <w:spacing w:val="0"/>
          <w:kern w:val="0"/>
          <w:sz w:val="32"/>
          <w:szCs w:val="32"/>
          <w:vertAlign w:val="baseline"/>
          <w:lang w:val="en-US" w:eastAsia="zh-CN" w:bidi="ar"/>
        </w:rPr>
      </w:pPr>
      <w:r>
        <w:rPr>
          <w:rFonts w:hint="eastAsia" w:ascii="仿宋" w:hAnsi="仿宋" w:eastAsia="仿宋" w:cs="仿宋"/>
          <w:b/>
          <w:i w:val="0"/>
          <w:caps w:val="0"/>
          <w:color w:val="333333"/>
          <w:spacing w:val="0"/>
          <w:kern w:val="0"/>
          <w:sz w:val="32"/>
          <w:szCs w:val="32"/>
          <w:vertAlign w:val="baseline"/>
          <w:lang w:val="en-US" w:eastAsia="zh-CN" w:bidi="ar"/>
        </w:rPr>
        <w:t>机构设置情况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仿宋" w:hAnsi="仿宋" w:eastAsia="仿宋" w:cs="仿宋"/>
          <w:i w:val="0"/>
          <w:caps w:val="0"/>
          <w:color w:val="333333"/>
          <w:spacing w:val="0"/>
          <w:kern w:val="0"/>
          <w:sz w:val="32"/>
          <w:szCs w:val="32"/>
          <w:vertAlign w:val="baseline"/>
          <w:lang w:val="en-US" w:eastAsia="zh-CN" w:bidi="ar"/>
        </w:rPr>
      </w:pPr>
      <w:r>
        <w:rPr>
          <w:rFonts w:hint="eastAsia" w:ascii="仿宋" w:hAnsi="仿宋" w:eastAsia="仿宋" w:cs="仿宋"/>
          <w:i w:val="0"/>
          <w:caps w:val="0"/>
          <w:color w:val="333333"/>
          <w:spacing w:val="0"/>
          <w:kern w:val="0"/>
          <w:sz w:val="32"/>
          <w:szCs w:val="32"/>
          <w:vertAlign w:val="baseline"/>
          <w:lang w:val="en-US" w:eastAsia="zh-CN" w:bidi="ar"/>
        </w:rPr>
        <w:t>南乐县卫生和计划生育委员会设9个内设机构。包括办公室（应急管理办公室）、人事教育股、规划财务审计股、综合监督和政策法规股、疾病预防控制股、医政医管股、基层卫生和妇幼保健股（县新型农村合作医疗协调领导小组办公室）、计划生育基层指导股、流动人口服务管理股。县卫生和计划生育委员会机关行政编制30名,事业编制148名。</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643" w:leftChars="0" w:right="0" w:rightChars="0"/>
        <w:jc w:val="left"/>
        <w:textAlignment w:val="baseline"/>
        <w:rPr>
          <w:rFonts w:hint="eastAsia" w:ascii="仿宋" w:hAnsi="仿宋" w:eastAsia="仿宋" w:cs="仿宋"/>
          <w:b/>
          <w:i w:val="0"/>
          <w:caps w:val="0"/>
          <w:color w:val="333333"/>
          <w:spacing w:val="0"/>
          <w:kern w:val="0"/>
          <w:sz w:val="32"/>
          <w:szCs w:val="32"/>
          <w:vertAlign w:val="baseline"/>
          <w:lang w:val="en-US" w:eastAsia="zh-CN" w:bidi="ar"/>
        </w:rPr>
      </w:pPr>
      <w:r>
        <w:rPr>
          <w:rFonts w:hint="eastAsia" w:ascii="仿宋" w:hAnsi="仿宋" w:eastAsia="仿宋" w:cs="仿宋"/>
          <w:b/>
          <w:i w:val="0"/>
          <w:caps w:val="0"/>
          <w:color w:val="333333"/>
          <w:spacing w:val="0"/>
          <w:kern w:val="0"/>
          <w:sz w:val="32"/>
          <w:szCs w:val="32"/>
          <w:vertAlign w:val="baseline"/>
          <w:lang w:val="en-US" w:eastAsia="zh-CN" w:bidi="ar"/>
        </w:rPr>
        <w:t>部门职责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1.贯彻执行党和国家国民健康、卫生健康事业发展法律法规、政策、规划；统筹规划全县卫生健康资源配置，指导全县区域卫生健康规划编制和实施；拟订推进全县卫生健康基本公共服务均等化、普惠化、便捷化和公共资源向基层延伸等政策措施并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2.协调推进深化医药卫生体制改革，研究提出全县深化医药卫生体制改革重大政策、措施的建议；组织深化公立医院综合改革，推进管办分离，健全现代医院管理制度；组织实施国家及省、市、县推动卫生健康公共服务提供主体多元化、提供方式多样化的政策措施，提出医疗服务和药品价格政策的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3.拟订并组织落实全县疾病预防控制规划、免疫规划以及严重危害人民健康公共卫生问题的干预措施；负责卫生应急工作，组织指导突发公共卫生事件的预防控制和各类突发公共事件的医疗卫生救援；根据授权发布法定报告传染病疫情信息、突发公共卫生事件应急处置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4.拟订并协调落实应对人口老龄化政策措施，负责推进老年健康服务体系建设和医养结合工作。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5.贯彻落实国家药物政策和国家基本药物制度，开展药品使用监测、临床综合评价和短缺药品预警；组织开展食品安全风险监测评估，贯彻执行食品安全地方标准。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6.负责职责范围内的职业卫生、放射卫生、环境卫生、学校卫生、公共场所卫生、饮用水卫生等公共卫生的监督管理，负责传染病防治监督，健全卫生健康综合监督体系。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7.拟订全县医疗机构、医疗服务行业、采供血机构管理办法并监督实施，建立医疗服务评价和监督管理体系；会同有关部门贯彻执行国家卫生健康专业技术人员资格标准；组织实施医疗服务规范、标准和卫生健康专业技术人员执业规则、服务规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8.负责计划生育管理和服务工作，开展人口监测预警，研究提出人口与家庭发展相关政策建议，落实计划生育政策。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9.指导基层医疗卫生、妇幼健康服务体系建设，加强全科医生队伍建设；推进卫生健康科技创新发展。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10.负责县保健对象的医疗保健工作；负责重要会议与重大活动的医疗卫生保障工作。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11.负责中医管理工作，拟订全县中医药事业中长期发展规划。</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12.承担县艾滋病防治工作委员会、县老龄工作委员会、县人口和计划生育工作领导小组、县保健委员会日常工作，指导县计划生育协会的业务工作。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13.完成县委、县政府交办的其他任务。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二、南乐县卫生健康委员会预算单位构成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仿宋" w:hAnsi="仿宋" w:eastAsia="仿宋" w:cs="仿宋"/>
          <w:i w:val="0"/>
          <w:caps w:val="0"/>
          <w:color w:val="333333"/>
          <w:spacing w:val="0"/>
          <w:kern w:val="0"/>
          <w:sz w:val="32"/>
          <w:szCs w:val="32"/>
          <w:vertAlign w:val="baseline"/>
          <w:lang w:val="en-US" w:eastAsia="zh-CN" w:bidi="ar"/>
        </w:rPr>
      </w:pPr>
      <w:r>
        <w:rPr>
          <w:rFonts w:hint="eastAsia" w:ascii="仿宋" w:hAnsi="仿宋" w:eastAsia="仿宋" w:cs="仿宋"/>
          <w:i w:val="0"/>
          <w:caps w:val="0"/>
          <w:color w:val="333333"/>
          <w:spacing w:val="0"/>
          <w:kern w:val="0"/>
          <w:sz w:val="32"/>
          <w:szCs w:val="32"/>
          <w:vertAlign w:val="baseline"/>
          <w:lang w:val="en-US" w:eastAsia="zh-CN" w:bidi="ar"/>
        </w:rPr>
        <w:t xml:space="preserve"> 从预算单位构成看，南乐县卫生健康委员会部门预算包括：本级于算、所属单位预算。本预算为汇总预算，纳入本部门2019年度部门预算编制范围的单位共10个，具体是：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1.南乐县卫生和计划生育委员会本级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2.南乐县卫生监督所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3.南乐县疾病预防控制中心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4.南乐县卫生学校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5.南乐县爱国卫生运动委员会办公室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6.南乐县人民医院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7.南乐县第二人民医院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8.南乐县中医院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9.南乐县精神病医院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10.南乐县妇幼保健院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121" w:right="118" w:firstLine="36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1"/>
          <w:kern w:val="0"/>
          <w:sz w:val="32"/>
          <w:szCs w:val="32"/>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center"/>
        <w:textAlignment w:val="baseline"/>
        <w:rPr>
          <w:rFonts w:hint="eastAsia" w:ascii="微软雅黑" w:hAnsi="微软雅黑" w:eastAsia="微软雅黑" w:cs="微软雅黑"/>
          <w:i w:val="0"/>
          <w:caps w:val="0"/>
          <w:color w:val="333333"/>
          <w:spacing w:val="0"/>
          <w:sz w:val="28"/>
          <w:szCs w:val="28"/>
        </w:rPr>
      </w:pPr>
      <w:r>
        <w:rPr>
          <w:rFonts w:hint="eastAsia" w:ascii="仿宋" w:hAnsi="仿宋" w:eastAsia="仿宋" w:cs="仿宋"/>
          <w:b/>
          <w:i w:val="0"/>
          <w:caps w:val="0"/>
          <w:color w:val="333333"/>
          <w:spacing w:val="0"/>
          <w:kern w:val="0"/>
          <w:sz w:val="36"/>
          <w:szCs w:val="36"/>
          <w:vertAlign w:val="baseline"/>
          <w:lang w:val="en-US" w:eastAsia="zh-CN" w:bidi="ar"/>
        </w:rPr>
        <w:t>第二部分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center"/>
        <w:textAlignment w:val="baseline"/>
        <w:rPr>
          <w:rFonts w:hint="eastAsia" w:ascii="微软雅黑" w:hAnsi="微软雅黑" w:eastAsia="微软雅黑" w:cs="微软雅黑"/>
          <w:i w:val="0"/>
          <w:caps w:val="0"/>
          <w:color w:val="333333"/>
          <w:spacing w:val="0"/>
          <w:sz w:val="28"/>
          <w:szCs w:val="28"/>
        </w:rPr>
      </w:pPr>
      <w:r>
        <w:rPr>
          <w:rFonts w:hint="eastAsia" w:ascii="仿宋" w:hAnsi="仿宋" w:eastAsia="仿宋" w:cs="仿宋"/>
          <w:b/>
          <w:i w:val="0"/>
          <w:caps w:val="0"/>
          <w:color w:val="333333"/>
          <w:spacing w:val="0"/>
          <w:kern w:val="0"/>
          <w:sz w:val="36"/>
          <w:szCs w:val="36"/>
          <w:vertAlign w:val="baseline"/>
          <w:lang w:val="en-US" w:eastAsia="zh-CN" w:bidi="ar"/>
        </w:rPr>
        <w:t>卫生健康委员会2019年度部门汇总预算情况说明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一、收入支出预算总体情况说明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收入总计6191.75万元，支出总计6191.75万元，与2018年收入总计8903.56万元，支出总计8903.56万元相比，收、支总计各减少2711.81万元，减少30.46%。主要原因：社会保障和就业支出以及卫生健康支出的减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二、收入预算总体情况说明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南乐县卫生健康委员会2019年收入合计6191.75万元，其中：一般公共预算5445.74万元; 政府性基金收入746.01万元。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三、支出预算总体情况说明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南乐县卫生健康委员会2019年支出合计6191.75万元，其中：基本支出4365.02万元，占70.50%；项目支出1826.73万元，占29.50%。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四、财政拨款收入支出预算总体情况说明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南乐县卫生健康委员会2019年一般公共预算收支预算5445.74万元，政府性基金收支预算746.01万元。与 2018年相比，一般公共预算收支预算减少2848.98万元，减少34.35%，主要原因：社会保障和就业支出以及卫生健康支出的减少。政府性基金2019年比2018年增加137.18万元，增加22</w:t>
      </w:r>
      <w:r>
        <w:rPr>
          <w:rFonts w:hint="eastAsia" w:ascii="仿宋" w:hAnsi="仿宋" w:eastAsia="仿宋" w:cs="仿宋"/>
          <w:i w:val="0"/>
          <w:caps w:val="0"/>
          <w:color w:val="333333"/>
          <w:spacing w:val="0"/>
          <w:kern w:val="0"/>
          <w:sz w:val="32"/>
          <w:szCs w:val="32"/>
          <w:highlight w:val="none"/>
          <w:vertAlign w:val="baseline"/>
          <w:lang w:val="en-US" w:eastAsia="zh-CN" w:bidi="ar"/>
        </w:rPr>
        <w:t>.53%，主要原因：项目增多，难度加大。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五、一般公共预算支出预算情况说明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南乐县卫生健康委员会2019年一般公共预算支出年初预算为5445.74元。主要用于以下方面：社会保障和就业支出401.98万元，占7.38%；卫生健康支出4904.77万元，占90.07%；住房保障支出138.99万元，占2.55%。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六、一般公共预算基本支出预算情况说明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600"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南乐县卫生健康委员会2019年一般公共预算基本支出年初预算为4365.02万元。其中：</w:t>
      </w:r>
      <w:r>
        <w:rPr>
          <w:rFonts w:hint="eastAsia" w:ascii="仿宋" w:hAnsi="仿宋" w:eastAsia="仿宋" w:cs="仿宋"/>
          <w:b/>
          <w:bCs/>
          <w:i w:val="0"/>
          <w:caps w:val="0"/>
          <w:color w:val="333333"/>
          <w:spacing w:val="0"/>
          <w:kern w:val="0"/>
          <w:sz w:val="32"/>
          <w:szCs w:val="32"/>
          <w:vertAlign w:val="baseline"/>
          <w:lang w:val="en-US" w:eastAsia="zh-CN" w:bidi="ar"/>
        </w:rPr>
        <w:t>人员经费4227.86万元</w:t>
      </w:r>
      <w:r>
        <w:rPr>
          <w:rFonts w:hint="eastAsia" w:ascii="仿宋" w:hAnsi="仿宋" w:eastAsia="仿宋" w:cs="仿宋"/>
          <w:i w:val="0"/>
          <w:caps w:val="0"/>
          <w:color w:val="333333"/>
          <w:spacing w:val="0"/>
          <w:kern w:val="0"/>
          <w:sz w:val="32"/>
          <w:szCs w:val="32"/>
          <w:vertAlign w:val="baseline"/>
          <w:lang w:val="en-US" w:eastAsia="zh-CN" w:bidi="ar"/>
        </w:rPr>
        <w:t>，主要包括：基本工资、津贴补贴、奖金、绩效工资、机关事业单位基本养老保险缴费、职业年金缴费、医疗保险缴费、其他社会保障缴费、住房公积金、其他工资福利支出、离休费、退休费、其他对个人和家庭的补助支出；</w:t>
      </w:r>
      <w:r>
        <w:rPr>
          <w:rFonts w:hint="eastAsia" w:ascii="仿宋" w:hAnsi="仿宋" w:eastAsia="仿宋" w:cs="仿宋"/>
          <w:b/>
          <w:bCs/>
          <w:i w:val="0"/>
          <w:caps w:val="0"/>
          <w:color w:val="333333"/>
          <w:spacing w:val="0"/>
          <w:kern w:val="0"/>
          <w:sz w:val="32"/>
          <w:szCs w:val="32"/>
          <w:vertAlign w:val="baseline"/>
          <w:lang w:val="en-US" w:eastAsia="zh-CN" w:bidi="ar"/>
        </w:rPr>
        <w:t>公用经费137.16万元</w:t>
      </w:r>
      <w:r>
        <w:rPr>
          <w:rFonts w:hint="eastAsia" w:ascii="仿宋" w:hAnsi="仿宋" w:eastAsia="仿宋" w:cs="仿宋"/>
          <w:i w:val="0"/>
          <w:caps w:val="0"/>
          <w:color w:val="333333"/>
          <w:spacing w:val="0"/>
          <w:kern w:val="0"/>
          <w:sz w:val="32"/>
          <w:szCs w:val="32"/>
          <w:vertAlign w:val="baseline"/>
          <w:lang w:val="en-US" w:eastAsia="zh-CN" w:bidi="ar"/>
        </w:rPr>
        <w:t>，主要包括：办公费、印刷费、咨询费、手续费、水费、电费、邮电费、取暖费、物业管理费、差旅费、因公出国（境）费、维修（护）费、租赁费、会议费、培训费、公务接待费、专用材料费、专用燃料费、劳务费、委托业务费、福利费、公务用车运行维护费、其他交通费用、税金及附加费用、其他商品和服务支出、债务利息、办公设备购置、专用设备购置、基础设施建设、大型修缮、信息网络及软件购置更新、公务用车购置、其他资本性支出和其他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七、“三公”经费支出预算情况说明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0"/>
        <w:jc w:val="left"/>
        <w:textAlignment w:val="baseline"/>
        <w:rPr>
          <w:rFonts w:hint="default" w:ascii="微软雅黑" w:hAnsi="微软雅黑" w:eastAsia="微软雅黑" w:cs="微软雅黑"/>
          <w:i w:val="0"/>
          <w:caps w:val="0"/>
          <w:color w:val="333333"/>
          <w:spacing w:val="0"/>
          <w:sz w:val="27"/>
          <w:szCs w:val="27"/>
          <w:lang w:val="en-US"/>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南乐县卫生健康委员会2019年“三公”经费预算为16.73万元。2019年“三公”经费支出预算数比 2018年预算数14.35万元增加2.38万元，增长16.59%</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具体支出情况如下：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39"/>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1"/>
          <w:kern w:val="0"/>
          <w:sz w:val="32"/>
          <w:szCs w:val="32"/>
          <w:vertAlign w:val="baseline"/>
          <w:lang w:val="en-US" w:eastAsia="zh-CN" w:bidi="ar"/>
        </w:rPr>
        <w:t>（一）因公出国（境）费</w:t>
      </w:r>
      <w:r>
        <w:rPr>
          <w:rFonts w:hint="eastAsia" w:ascii="仿宋" w:hAnsi="仿宋" w:eastAsia="仿宋" w:cs="仿宋"/>
          <w:i w:val="0"/>
          <w:caps w:val="0"/>
          <w:color w:val="333333"/>
          <w:spacing w:val="0"/>
          <w:kern w:val="0"/>
          <w:sz w:val="32"/>
          <w:szCs w:val="32"/>
          <w:vertAlign w:val="baseline"/>
          <w:lang w:val="en-US" w:eastAsia="zh-CN" w:bidi="ar"/>
        </w:rPr>
        <w:t>0</w:t>
      </w:r>
      <w:r>
        <w:rPr>
          <w:rFonts w:hint="eastAsia" w:ascii="仿宋" w:hAnsi="仿宋" w:eastAsia="仿宋" w:cs="仿宋"/>
          <w:i w:val="0"/>
          <w:caps w:val="0"/>
          <w:color w:val="333333"/>
          <w:spacing w:val="-1"/>
          <w:kern w:val="0"/>
          <w:sz w:val="32"/>
          <w:szCs w:val="32"/>
          <w:vertAlign w:val="baseline"/>
          <w:lang w:val="en-US" w:eastAsia="zh-CN" w:bidi="ar"/>
        </w:rPr>
        <w:t>万元，</w:t>
      </w:r>
      <w:r>
        <w:rPr>
          <w:rFonts w:hint="eastAsia" w:ascii="仿宋" w:hAnsi="仿宋" w:eastAsia="仿宋" w:cs="仿宋"/>
          <w:i w:val="0"/>
          <w:caps w:val="0"/>
          <w:color w:val="333333"/>
          <w:spacing w:val="0"/>
          <w:kern w:val="0"/>
          <w:sz w:val="32"/>
          <w:szCs w:val="32"/>
          <w:vertAlign w:val="baseline"/>
          <w:lang w:val="en-US" w:eastAsia="zh-CN" w:bidi="ar"/>
        </w:rPr>
        <w:t>主要用于单位工作人员公务出国（境）的住宿费、旅费、伙食补助费、杂费、培训费等支出。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39"/>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1"/>
          <w:kern w:val="0"/>
          <w:sz w:val="32"/>
          <w:szCs w:val="32"/>
          <w:vertAlign w:val="baseline"/>
          <w:lang w:val="en-US" w:eastAsia="zh-CN" w:bidi="ar"/>
        </w:rPr>
        <w:t>（二）公务用车购置及运行费</w:t>
      </w:r>
      <w:r>
        <w:rPr>
          <w:rFonts w:hint="eastAsia" w:ascii="仿宋" w:hAnsi="仿宋" w:eastAsia="仿宋" w:cs="仿宋"/>
          <w:i w:val="0"/>
          <w:caps w:val="0"/>
          <w:color w:val="333333"/>
          <w:spacing w:val="0"/>
          <w:kern w:val="0"/>
          <w:sz w:val="32"/>
          <w:szCs w:val="32"/>
          <w:vertAlign w:val="baseline"/>
          <w:lang w:val="en-US" w:eastAsia="zh-CN" w:bidi="ar"/>
        </w:rPr>
        <w:t>13.83万元，其中，公务用车购置费0万元；公务用车运行维护费13.83万元，主要用于开展工作所需公务用车的燃料费、维修费、过路过桥费、保险费、安全奖励费用等支出。公务用车购置费预算数比 2018年增加0万元。公务用车运行维护费预算数比 2018年增加0.18万元，较上年增长1.31%，主要原因：计划生育事务支出的增加。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39"/>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1"/>
          <w:kern w:val="0"/>
          <w:sz w:val="32"/>
          <w:szCs w:val="32"/>
          <w:vertAlign w:val="baseline"/>
          <w:lang w:val="en-US" w:eastAsia="zh-CN" w:bidi="ar"/>
        </w:rPr>
        <w:t>（三）公务接待费</w:t>
      </w:r>
      <w:r>
        <w:rPr>
          <w:rFonts w:hint="eastAsia" w:ascii="仿宋" w:hAnsi="仿宋" w:eastAsia="仿宋" w:cs="仿宋"/>
          <w:i w:val="0"/>
          <w:caps w:val="0"/>
          <w:color w:val="333333"/>
          <w:spacing w:val="0"/>
          <w:kern w:val="0"/>
          <w:sz w:val="32"/>
          <w:szCs w:val="32"/>
          <w:vertAlign w:val="baseline"/>
          <w:lang w:val="en-US" w:eastAsia="zh-CN" w:bidi="ar"/>
        </w:rPr>
        <w:t>2.9万元，主要用于按规定开支的各类公务接待（含外宾接待）支出。预算数比2018年增加2.2万元，较上年增长314.28%，主要原因为其他卫生健康管理事务支出的增加。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八、政府性基金预算支出预算情况说明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南乐县卫生健康委员会2019年政府性基金预算支出年初预算为746.01万元。支出具体情况如下：征地和拆迁补偿支出为1.69万元、城市建设支出为223.83万元和其他国有土地使用权出让收入安排的支出520.50万元。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60"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九、国有资本经营预算支出情况表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南乐县卫生健康委员会2019年没有国有资本经营预算拨款安排的收入和支出。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39"/>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1"/>
          <w:kern w:val="0"/>
          <w:sz w:val="32"/>
          <w:szCs w:val="32"/>
          <w:vertAlign w:val="baseline"/>
          <w:lang w:val="en-US" w:eastAsia="zh-CN" w:bidi="ar"/>
        </w:rPr>
        <w:t>十、其他重要事项的情况说明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（一）机关运行经费支出情况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0"/>
        <w:jc w:val="left"/>
        <w:textAlignment w:val="baseline"/>
        <w:rPr>
          <w:rFonts w:hint="eastAsia" w:ascii="仿宋" w:hAnsi="仿宋" w:eastAsia="仿宋" w:cs="仿宋"/>
          <w:i w:val="0"/>
          <w:caps w:val="0"/>
          <w:color w:val="333333"/>
          <w:spacing w:val="0"/>
          <w:kern w:val="0"/>
          <w:sz w:val="32"/>
          <w:szCs w:val="32"/>
          <w:vertAlign w:val="baseline"/>
          <w:lang w:val="en-US" w:eastAsia="zh-CN" w:bidi="ar"/>
        </w:rPr>
      </w:pPr>
      <w:r>
        <w:rPr>
          <w:rFonts w:hint="eastAsia" w:ascii="仿宋" w:hAnsi="仿宋" w:eastAsia="仿宋" w:cs="仿宋"/>
          <w:i w:val="0"/>
          <w:caps w:val="0"/>
          <w:color w:val="333333"/>
          <w:spacing w:val="0"/>
          <w:kern w:val="0"/>
          <w:sz w:val="32"/>
          <w:szCs w:val="32"/>
          <w:vertAlign w:val="baseline"/>
          <w:lang w:val="en-US" w:eastAsia="zh-CN" w:bidi="ar"/>
        </w:rPr>
        <w:t>卫健委2019年机关运行经费支出预算95.5万元，主要保障机构正常运转及正常履职需要的办公费、水电费、物业费、维修费、差旅费等支出，2018年55.92万元，增加39.58万元，增长70.78%，主要原因：基层医疗卫生下乡督导，燃油等费用增加，同时其他医疗卫生管理事务工作根据年度安排有所增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（二）政府采购支出情况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2019年政府采购预算安排0万元，其中：政府采购货物预算0万元、政府采购工程预算0万元、政府采购服务预算0万元。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（三）关于预算绩效管理工作开展情况说明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微软雅黑" w:hAnsi="微软雅黑" w:eastAsia="微软雅黑" w:cs="微软雅黑"/>
          <w:i w:val="0"/>
          <w:caps w:val="0"/>
          <w:color w:val="333333"/>
          <w:spacing w:val="0"/>
          <w:sz w:val="27"/>
          <w:szCs w:val="27"/>
          <w:highlight w:val="none"/>
        </w:rPr>
      </w:pPr>
      <w:r>
        <w:rPr>
          <w:rFonts w:hint="default" w:ascii="Times New Roman" w:hAnsi="Times New Roman" w:eastAsia="仿宋_GB2312" w:cs="Times New Roman"/>
          <w:sz w:val="32"/>
          <w:szCs w:val="32"/>
          <w:lang w:val="en-US" w:eastAsia="zh-CN"/>
        </w:rPr>
        <w:t>2018年，我</w:t>
      </w:r>
      <w:r>
        <w:rPr>
          <w:rFonts w:hint="eastAsia" w:ascii="Times New Roman" w:hAnsi="Times New Roman" w:eastAsia="仿宋_GB2312" w:cs="Times New Roman"/>
          <w:sz w:val="32"/>
          <w:szCs w:val="32"/>
          <w:lang w:val="en-US" w:eastAsia="zh-CN"/>
        </w:rPr>
        <w:t>委</w:t>
      </w:r>
      <w:r>
        <w:rPr>
          <w:rFonts w:hint="default" w:ascii="Times New Roman" w:hAnsi="Times New Roman" w:eastAsia="仿宋_GB2312" w:cs="Times New Roman"/>
          <w:sz w:val="32"/>
          <w:szCs w:val="32"/>
          <w:lang w:val="en-US" w:eastAsia="zh-CN"/>
        </w:rPr>
        <w:t>共组织对</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个项目进行了预算绩效评价，涉及资金</w:t>
      </w:r>
      <w:r>
        <w:rPr>
          <w:rFonts w:hint="eastAsia" w:ascii="Times New Roman" w:hAnsi="Times New Roman" w:eastAsia="仿宋_GB2312" w:cs="Times New Roman"/>
          <w:sz w:val="32"/>
          <w:szCs w:val="32"/>
          <w:lang w:val="en-US" w:eastAsia="zh-CN"/>
        </w:rPr>
        <w:t>505.65</w:t>
      </w:r>
      <w:r>
        <w:rPr>
          <w:rFonts w:hint="default" w:ascii="Times New Roman" w:hAnsi="Times New Roman" w:eastAsia="仿宋_GB2312" w:cs="Times New Roman"/>
          <w:sz w:val="32"/>
          <w:szCs w:val="32"/>
          <w:lang w:val="en-US" w:eastAsia="zh-CN"/>
        </w:rPr>
        <w:t>万元。</w:t>
      </w:r>
      <w:r>
        <w:rPr>
          <w:rFonts w:hint="default" w:ascii="Times New Roman" w:hAnsi="Times New Roman" w:eastAsia="仿宋_GB2312" w:cs="Times New Roman"/>
          <w:sz w:val="32"/>
          <w:szCs w:val="32"/>
          <w:highlight w:val="none"/>
          <w:lang w:val="en-US" w:eastAsia="zh-CN"/>
        </w:rPr>
        <w:t>2019年，我委纳入预算绩效管理的支出总额为746.01万元，其中人员经费支出0万元，公用经费支出0万元，支出项目共3个，支出总额746.01万元，其中预算支出100万元及100万元以上项目2个，支出总额744.33万元</w:t>
      </w:r>
      <w:r>
        <w:rPr>
          <w:rFonts w:hint="eastAsia" w:ascii="Times New Roman" w:hAnsi="Times New Roman" w:eastAsia="仿宋_GB2312" w:cs="Times New Roman"/>
          <w:sz w:val="32"/>
          <w:szCs w:val="32"/>
          <w:highlight w:val="none"/>
          <w:lang w:val="en-US"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（四）国有资产占用情况。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590"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2018年期末，</w:t>
      </w:r>
      <w:r>
        <w:rPr>
          <w:rFonts w:hint="eastAsia" w:ascii="仿宋" w:hAnsi="仿宋" w:eastAsia="仿宋" w:cs="仿宋"/>
          <w:i w:val="0"/>
          <w:caps w:val="0"/>
          <w:color w:val="333333"/>
          <w:spacing w:val="0"/>
          <w:kern w:val="0"/>
          <w:sz w:val="32"/>
          <w:szCs w:val="32"/>
          <w:highlight w:val="none"/>
          <w:vertAlign w:val="baseline"/>
          <w:lang w:val="en-US" w:eastAsia="zh-CN" w:bidi="ar"/>
        </w:rPr>
        <w:t>南乐县卫生健康委员会固定资产总额9886.10万元，其中，房屋建筑物9304.42万元，车辆581.68万元。共有车辆3</w:t>
      </w:r>
      <w:r>
        <w:rPr>
          <w:rFonts w:hint="eastAsia" w:ascii="仿宋" w:hAnsi="仿宋" w:eastAsia="仿宋" w:cs="仿宋"/>
          <w:i w:val="0"/>
          <w:caps w:val="0"/>
          <w:color w:val="333333"/>
          <w:spacing w:val="0"/>
          <w:kern w:val="0"/>
          <w:sz w:val="32"/>
          <w:szCs w:val="32"/>
          <w:vertAlign w:val="baseline"/>
          <w:lang w:val="en-US" w:eastAsia="zh-CN" w:bidi="ar"/>
        </w:rPr>
        <w:t>辆，其中：一般公务用车1辆、特种专业技术用车1辆，其他用车1辆；单价50万元以上通用设备0台（套），单位价值100万元以上专用设备0台（套）。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3"/>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b/>
          <w:i w:val="0"/>
          <w:caps w:val="0"/>
          <w:color w:val="333333"/>
          <w:spacing w:val="0"/>
          <w:kern w:val="0"/>
          <w:sz w:val="32"/>
          <w:szCs w:val="32"/>
          <w:vertAlign w:val="baseline"/>
          <w:lang w:val="en-US" w:eastAsia="zh-CN" w:bidi="ar"/>
        </w:rPr>
        <w:t>（五）专项转移支付项目情况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640"/>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南乐县卫生健康委员会负责管理的专项转移支付项目共有项，主要是：基本公共卫生服务项目2375万元、重大公共卫生服务项目 万元、基本药物制度项目590万元等；我委将按照《预算法》等有关规定，积极做好项目分配前期准备工作，在规定的时间内向财政部门提出资金分配意见，根据有关要求做好项目申报公开等相关工作。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25" w:afterAutospacing="0" w:line="405" w:lineRule="atLeast"/>
        <w:ind w:left="0" w:right="0" w:firstLine="0"/>
        <w:jc w:val="center"/>
        <w:textAlignment w:val="baseline"/>
        <w:rPr>
          <w:rFonts w:hint="eastAsia" w:ascii="微软雅黑" w:hAnsi="微软雅黑" w:eastAsia="微软雅黑" w:cs="微软雅黑"/>
          <w:b/>
          <w:bCs w:val="0"/>
          <w:i w:val="0"/>
          <w:caps w:val="0"/>
          <w:color w:val="333333"/>
          <w:spacing w:val="0"/>
          <w:sz w:val="28"/>
          <w:szCs w:val="28"/>
        </w:rPr>
      </w:pPr>
      <w:bookmarkStart w:id="0" w:name="_GoBack"/>
      <w:bookmarkEnd w:id="0"/>
      <w:r>
        <w:rPr>
          <w:rFonts w:hint="eastAsia" w:ascii="仿宋" w:hAnsi="仿宋" w:eastAsia="仿宋" w:cs="仿宋"/>
          <w:b/>
          <w:bCs w:val="0"/>
          <w:i w:val="0"/>
          <w:caps w:val="0"/>
          <w:color w:val="333333"/>
          <w:spacing w:val="0"/>
          <w:kern w:val="0"/>
          <w:sz w:val="36"/>
          <w:szCs w:val="36"/>
          <w:vertAlign w:val="baseline"/>
          <w:lang w:val="en-US" w:eastAsia="zh-CN" w:bidi="ar"/>
        </w:rPr>
        <w:t>第三部分 名词解释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一、财政拨款收入：是指县级财政当年拨付的资金。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二、事业收入：是指事业单位开展专业活动及辅助活动所取得的收入。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三、其他收入：是指部门取得的除“财政拨款”、“事业收入”、“事业单位经营收入”等以外的收入。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四、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 支差额的基金）弥补当年收支缺口的资金。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五、基本支出：是指为保障机构正常运转、完成日常工作任务所必需的开支，其内容包括人员经费和日常公用经费两部分。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六、项目支出：是指在基本支出之外，为完成特定的行政工作任务或事业发展目标所发生的支出。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七、“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5" w:lineRule="atLeast"/>
        <w:ind w:left="0" w:right="0" w:firstLine="641"/>
        <w:jc w:val="left"/>
        <w:textAlignment w:val="baseline"/>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kern w:val="0"/>
          <w:sz w:val="32"/>
          <w:szCs w:val="32"/>
          <w:vertAlign w:val="baseline"/>
          <w:lang w:val="en-US" w:eastAsia="zh-CN" w:bidi="ar"/>
        </w:rPr>
        <w:t>八、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
      <w:pPr>
        <w:bidi w:val="0"/>
        <w:ind w:firstLine="366" w:firstLineChars="0"/>
        <w:jc w:val="left"/>
        <w:rPr>
          <w:rFonts w:hint="eastAsia" w:ascii="黑体" w:hAnsi="黑体" w:eastAsia="黑体" w:cs="黑体"/>
          <w:b w:val="0"/>
          <w:bCs w:val="0"/>
          <w:kern w:val="2"/>
          <w:sz w:val="32"/>
          <w:szCs w:val="40"/>
          <w:lang w:val="en-US" w:eastAsia="zh-CN" w:bidi="ar-SA"/>
        </w:rPr>
      </w:pPr>
      <w:r>
        <w:rPr>
          <w:rFonts w:hint="eastAsia" w:ascii="黑体" w:hAnsi="黑体" w:eastAsia="黑体" w:cs="黑体"/>
          <w:b w:val="0"/>
          <w:bCs w:val="0"/>
          <w:kern w:val="2"/>
          <w:sz w:val="32"/>
          <w:szCs w:val="40"/>
          <w:lang w:val="en-US" w:eastAsia="zh-CN" w:bidi="ar-SA"/>
        </w:rPr>
        <w:t>附件：南乐县卫生健康委员会2019年度部门汇总预算表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0D4DF0"/>
    <w:multiLevelType w:val="singleLevel"/>
    <w:tmpl w:val="DC0D4DF0"/>
    <w:lvl w:ilvl="0" w:tentative="0">
      <w:start w:val="1"/>
      <w:numFmt w:val="chineseCounting"/>
      <w:suff w:val="nothing"/>
      <w:lvlText w:val="%1、"/>
      <w:lvlJc w:val="left"/>
      <w:rPr>
        <w:rFonts w:hint="eastAsia"/>
      </w:rPr>
    </w:lvl>
  </w:abstractNum>
  <w:abstractNum w:abstractNumId="1">
    <w:nsid w:val="4128B53E"/>
    <w:multiLevelType w:val="singleLevel"/>
    <w:tmpl w:val="4128B53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220D32"/>
    <w:rsid w:val="0582130A"/>
    <w:rsid w:val="0CE5549D"/>
    <w:rsid w:val="0F18598C"/>
    <w:rsid w:val="19BC44B2"/>
    <w:rsid w:val="527E3472"/>
    <w:rsid w:val="556A7DEA"/>
    <w:rsid w:val="559F2882"/>
    <w:rsid w:val="5A220D32"/>
    <w:rsid w:val="5A3F4E32"/>
    <w:rsid w:val="5B4223B1"/>
    <w:rsid w:val="6069688D"/>
    <w:rsid w:val="69AC2C92"/>
    <w:rsid w:val="6A6B6422"/>
    <w:rsid w:val="6EB42329"/>
    <w:rsid w:val="75B16AB0"/>
    <w:rsid w:val="7F3168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2021-06-03T09:55:00Z</dcterms:created>
  <dc:creator>Administrator</dc:creator>
  <cp:lastModifiedBy>跳跳糖</cp:lastModifiedBy>
  <dcterms:modified xsi:type="dcterms:W3CDTF">2021-06-08T03:52:53Z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4F6B64FB2AF34F6BB588E4C1C712DC71</vt:lpwstr>
  </property>
</Properties>
</file>